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6E9FC7" w14:textId="77777777" w:rsidR="003631E0" w:rsidRPr="005A3FF3" w:rsidRDefault="003631E0" w:rsidP="00447403">
      <w:pPr>
        <w:pStyle w:val="MH1nonumb"/>
        <w:spacing w:after="0"/>
      </w:pPr>
      <w:r w:rsidRPr="005A3FF3">
        <w:t xml:space="preserve">EXECUTIVE SUMMARY – INVESTORS’ RESIDENCE SCHEMES IN </w:t>
      </w:r>
      <w:r w:rsidR="00336E96" w:rsidRPr="005A3FF3">
        <w:t>THE UK</w:t>
      </w:r>
    </w:p>
    <w:p w14:paraId="68A596E6" w14:textId="77777777" w:rsidR="000652CE" w:rsidRPr="005A3FF3" w:rsidRDefault="000652CE" w:rsidP="00662799">
      <w:pPr>
        <w:spacing w:after="0" w:line="240" w:lineRule="auto"/>
        <w:jc w:val="both"/>
        <w:rPr>
          <w:i/>
          <w:sz w:val="22"/>
          <w:szCs w:val="22"/>
        </w:rPr>
      </w:pPr>
    </w:p>
    <w:p w14:paraId="0A60859E" w14:textId="6B8BFCDD" w:rsidR="00C20061" w:rsidRPr="005A3FF3" w:rsidRDefault="00C20061" w:rsidP="00662799">
      <w:pPr>
        <w:spacing w:after="0" w:line="240" w:lineRule="auto"/>
        <w:jc w:val="both"/>
        <w:rPr>
          <w:b/>
          <w:i/>
          <w:sz w:val="22"/>
          <w:szCs w:val="22"/>
        </w:rPr>
      </w:pPr>
      <w:r w:rsidRPr="005A3FF3">
        <w:rPr>
          <w:b/>
          <w:i/>
          <w:sz w:val="22"/>
          <w:szCs w:val="22"/>
        </w:rPr>
        <w:t>General background</w:t>
      </w:r>
    </w:p>
    <w:p w14:paraId="74708924" w14:textId="77777777" w:rsidR="000652CE" w:rsidRPr="005A3FF3" w:rsidRDefault="000652CE" w:rsidP="00662799">
      <w:pPr>
        <w:spacing w:after="0" w:line="240" w:lineRule="auto"/>
        <w:jc w:val="both"/>
        <w:rPr>
          <w:i/>
          <w:sz w:val="22"/>
          <w:szCs w:val="22"/>
        </w:rPr>
      </w:pPr>
    </w:p>
    <w:p w14:paraId="33F2C6C8" w14:textId="77777777" w:rsidR="00336E96" w:rsidRPr="005A3FF3" w:rsidRDefault="00336E96" w:rsidP="00662799">
      <w:pPr>
        <w:widowControl w:val="0"/>
        <w:spacing w:after="0" w:line="240" w:lineRule="auto"/>
        <w:jc w:val="both"/>
        <w:rPr>
          <w:color w:val="000000" w:themeColor="text1"/>
          <w:sz w:val="22"/>
          <w:szCs w:val="22"/>
        </w:rPr>
      </w:pPr>
      <w:r w:rsidRPr="005A3FF3">
        <w:rPr>
          <w:color w:val="000000" w:themeColor="text1"/>
          <w:sz w:val="22"/>
          <w:szCs w:val="22"/>
        </w:rPr>
        <w:t xml:space="preserve">The </w:t>
      </w:r>
      <w:r w:rsidRPr="005A3FF3">
        <w:rPr>
          <w:b/>
          <w:color w:val="000000" w:themeColor="text1"/>
          <w:sz w:val="22"/>
          <w:szCs w:val="22"/>
        </w:rPr>
        <w:t>Tier 1 (Investor)</w:t>
      </w:r>
      <w:r w:rsidRPr="005A3FF3">
        <w:rPr>
          <w:color w:val="000000" w:themeColor="text1"/>
          <w:sz w:val="22"/>
          <w:szCs w:val="22"/>
        </w:rPr>
        <w:t xml:space="preserve"> </w:t>
      </w:r>
      <w:r w:rsidR="00846BB9" w:rsidRPr="005A3FF3">
        <w:rPr>
          <w:color w:val="000000" w:themeColor="text1"/>
          <w:sz w:val="22"/>
          <w:szCs w:val="22"/>
        </w:rPr>
        <w:t xml:space="preserve">residence </w:t>
      </w:r>
      <w:r w:rsidRPr="005A3FF3">
        <w:rPr>
          <w:color w:val="000000" w:themeColor="text1"/>
          <w:sz w:val="22"/>
          <w:szCs w:val="22"/>
        </w:rPr>
        <w:t xml:space="preserve">scheme </w:t>
      </w:r>
      <w:r w:rsidR="006957E0" w:rsidRPr="005A3FF3">
        <w:rPr>
          <w:color w:val="000000" w:themeColor="text1"/>
          <w:sz w:val="22"/>
          <w:szCs w:val="22"/>
        </w:rPr>
        <w:t xml:space="preserve">was introduced </w:t>
      </w:r>
      <w:r w:rsidR="006D5C0A" w:rsidRPr="005A3FF3">
        <w:rPr>
          <w:color w:val="000000" w:themeColor="text1"/>
          <w:sz w:val="22"/>
          <w:szCs w:val="22"/>
        </w:rPr>
        <w:t xml:space="preserve">in </w:t>
      </w:r>
      <w:r w:rsidR="006957E0" w:rsidRPr="005A3FF3">
        <w:rPr>
          <w:color w:val="000000" w:themeColor="text1"/>
          <w:sz w:val="22"/>
          <w:szCs w:val="22"/>
        </w:rPr>
        <w:t>2008</w:t>
      </w:r>
      <w:r w:rsidR="006D5C0A" w:rsidRPr="005A3FF3">
        <w:rPr>
          <w:color w:val="000000" w:themeColor="text1"/>
          <w:sz w:val="22"/>
          <w:szCs w:val="22"/>
        </w:rPr>
        <w:t>,</w:t>
      </w:r>
      <w:r w:rsidR="006957E0" w:rsidRPr="005A3FF3">
        <w:rPr>
          <w:color w:val="000000" w:themeColor="text1"/>
          <w:sz w:val="22"/>
          <w:szCs w:val="22"/>
        </w:rPr>
        <w:t xml:space="preserve"> in the context of government</w:t>
      </w:r>
      <w:r w:rsidR="006D5C0A" w:rsidRPr="005A3FF3">
        <w:rPr>
          <w:color w:val="000000" w:themeColor="text1"/>
          <w:sz w:val="22"/>
          <w:szCs w:val="22"/>
        </w:rPr>
        <w:t xml:space="preserve"> </w:t>
      </w:r>
      <w:r w:rsidR="006957E0" w:rsidRPr="005A3FF3">
        <w:rPr>
          <w:color w:val="000000" w:themeColor="text1"/>
          <w:sz w:val="22"/>
          <w:szCs w:val="22"/>
        </w:rPr>
        <w:t>plans to reduce net migration into the UK and to generate economic growth.</w:t>
      </w:r>
      <w:r w:rsidR="006D5C0A" w:rsidRPr="005A3FF3">
        <w:rPr>
          <w:color w:val="000000" w:themeColor="text1"/>
          <w:sz w:val="22"/>
          <w:szCs w:val="22"/>
        </w:rPr>
        <w:t xml:space="preserve"> The scheme replaced the Investor Immigrant visa in place since 1994.</w:t>
      </w:r>
    </w:p>
    <w:p w14:paraId="03C0ABF8" w14:textId="77777777" w:rsidR="006957E0" w:rsidRPr="005A3FF3" w:rsidRDefault="006957E0">
      <w:pPr>
        <w:widowControl w:val="0"/>
        <w:spacing w:after="0" w:line="240" w:lineRule="auto"/>
        <w:jc w:val="both"/>
        <w:rPr>
          <w:b/>
          <w:color w:val="000000" w:themeColor="text1"/>
          <w:sz w:val="22"/>
          <w:szCs w:val="22"/>
        </w:rPr>
      </w:pPr>
    </w:p>
    <w:p w14:paraId="1191FD3F" w14:textId="57E5C91B" w:rsidR="006957E0" w:rsidRPr="005A3FF3" w:rsidRDefault="006957E0">
      <w:pPr>
        <w:widowControl w:val="0"/>
        <w:spacing w:after="0" w:line="240" w:lineRule="auto"/>
        <w:jc w:val="both"/>
        <w:rPr>
          <w:color w:val="000000" w:themeColor="text1"/>
          <w:sz w:val="22"/>
          <w:szCs w:val="22"/>
        </w:rPr>
      </w:pPr>
      <w:r w:rsidRPr="005A3FF3">
        <w:rPr>
          <w:color w:val="000000" w:themeColor="text1"/>
          <w:sz w:val="22"/>
          <w:szCs w:val="22"/>
        </w:rPr>
        <w:t xml:space="preserve">The scheme is regulated in </w:t>
      </w:r>
      <w:r w:rsidRPr="005A3FF3">
        <w:rPr>
          <w:b/>
          <w:color w:val="000000" w:themeColor="text1"/>
          <w:sz w:val="22"/>
          <w:szCs w:val="22"/>
        </w:rPr>
        <w:t>part 6A of the Immigration Rules</w:t>
      </w:r>
      <w:r w:rsidR="00662799" w:rsidRPr="005A3FF3">
        <w:rPr>
          <w:rStyle w:val="FootnoteReference"/>
          <w:b/>
          <w:color w:val="000000" w:themeColor="text1"/>
          <w:sz w:val="22"/>
          <w:szCs w:val="22"/>
        </w:rPr>
        <w:footnoteReference w:id="1"/>
      </w:r>
      <w:r w:rsidRPr="005A3FF3">
        <w:rPr>
          <w:b/>
          <w:color w:val="000000" w:themeColor="text1"/>
          <w:sz w:val="22"/>
          <w:szCs w:val="22"/>
        </w:rPr>
        <w:t xml:space="preserve"> </w:t>
      </w:r>
      <w:r w:rsidRPr="005A3FF3">
        <w:rPr>
          <w:color w:val="000000" w:themeColor="text1"/>
          <w:sz w:val="22"/>
          <w:szCs w:val="22"/>
        </w:rPr>
        <w:t>specifically in paragraphs 245E to 245EF, and in Appendix A to the Immigration Rules, paragraphs 54</w:t>
      </w:r>
      <w:r w:rsidR="00465B9F" w:rsidRPr="005A3FF3">
        <w:rPr>
          <w:color w:val="000000" w:themeColor="text1"/>
          <w:sz w:val="22"/>
          <w:szCs w:val="22"/>
        </w:rPr>
        <w:t xml:space="preserve"> to </w:t>
      </w:r>
      <w:r w:rsidRPr="005A3FF3">
        <w:rPr>
          <w:color w:val="000000" w:themeColor="text1"/>
          <w:sz w:val="22"/>
          <w:szCs w:val="22"/>
        </w:rPr>
        <w:t xml:space="preserve">65. The UK Government also </w:t>
      </w:r>
      <w:r w:rsidR="006D5C0A" w:rsidRPr="005A3FF3">
        <w:rPr>
          <w:color w:val="000000" w:themeColor="text1"/>
          <w:sz w:val="22"/>
          <w:szCs w:val="22"/>
        </w:rPr>
        <w:t>developed</w:t>
      </w:r>
      <w:r w:rsidRPr="005A3FF3">
        <w:rPr>
          <w:color w:val="000000" w:themeColor="text1"/>
          <w:sz w:val="22"/>
          <w:szCs w:val="22"/>
        </w:rPr>
        <w:t xml:space="preserve"> specific </w:t>
      </w:r>
      <w:r w:rsidRPr="005A3FF3">
        <w:rPr>
          <w:b/>
          <w:color w:val="000000" w:themeColor="text1"/>
          <w:sz w:val="22"/>
          <w:szCs w:val="22"/>
        </w:rPr>
        <w:t>policy guidance</w:t>
      </w:r>
      <w:r w:rsidRPr="005A3FF3">
        <w:rPr>
          <w:color w:val="000000" w:themeColor="text1"/>
          <w:sz w:val="22"/>
          <w:szCs w:val="22"/>
        </w:rPr>
        <w:t xml:space="preserve"> </w:t>
      </w:r>
      <w:r w:rsidR="006D5C0A" w:rsidRPr="005A3FF3">
        <w:rPr>
          <w:color w:val="000000" w:themeColor="text1"/>
          <w:sz w:val="22"/>
          <w:szCs w:val="22"/>
        </w:rPr>
        <w:t>on the</w:t>
      </w:r>
      <w:r w:rsidRPr="005A3FF3">
        <w:rPr>
          <w:color w:val="000000" w:themeColor="text1"/>
          <w:sz w:val="22"/>
          <w:szCs w:val="22"/>
        </w:rPr>
        <w:t xml:space="preserve"> Tier1 (Investor) </w:t>
      </w:r>
      <w:r w:rsidR="00863E3C" w:rsidRPr="005A3FF3">
        <w:rPr>
          <w:color w:val="000000" w:themeColor="text1"/>
          <w:sz w:val="22"/>
          <w:szCs w:val="22"/>
        </w:rPr>
        <w:t>scheme.</w:t>
      </w:r>
      <w:r w:rsidR="00662799" w:rsidRPr="005A3FF3">
        <w:rPr>
          <w:color w:val="000000" w:themeColor="text1"/>
          <w:sz w:val="22"/>
          <w:szCs w:val="22"/>
          <w:vertAlign w:val="superscript"/>
        </w:rPr>
        <w:footnoteReference w:id="2"/>
      </w:r>
    </w:p>
    <w:p w14:paraId="28AD1D8C" w14:textId="77777777" w:rsidR="006957E0" w:rsidRPr="005A3FF3" w:rsidRDefault="006957E0">
      <w:pPr>
        <w:widowControl w:val="0"/>
        <w:spacing w:after="0" w:line="240" w:lineRule="auto"/>
        <w:jc w:val="both"/>
        <w:rPr>
          <w:b/>
          <w:color w:val="000000" w:themeColor="text1"/>
          <w:sz w:val="22"/>
          <w:szCs w:val="22"/>
        </w:rPr>
      </w:pPr>
    </w:p>
    <w:p w14:paraId="14535E87" w14:textId="59ED843F" w:rsidR="006957E0" w:rsidRPr="005A3FF3" w:rsidRDefault="006957E0">
      <w:pPr>
        <w:pStyle w:val="MBT"/>
        <w:rPr>
          <w:b/>
          <w:color w:val="000000" w:themeColor="text1"/>
          <w:lang w:val="en-GB"/>
        </w:rPr>
      </w:pPr>
      <w:r w:rsidRPr="005A3FF3">
        <w:rPr>
          <w:lang w:val="en-GB"/>
        </w:rPr>
        <w:t xml:space="preserve">The </w:t>
      </w:r>
      <w:r w:rsidRPr="005A3FF3">
        <w:rPr>
          <w:b/>
          <w:lang w:val="en-GB"/>
        </w:rPr>
        <w:t>Home Office</w:t>
      </w:r>
      <w:r w:rsidRPr="005A3FF3">
        <w:rPr>
          <w:lang w:val="en-GB"/>
        </w:rPr>
        <w:t xml:space="preserve"> is the competent authority for issuing the Tier 1 (investors) visa</w:t>
      </w:r>
      <w:r w:rsidR="00846BB9" w:rsidRPr="005A3FF3">
        <w:rPr>
          <w:lang w:val="en-GB"/>
        </w:rPr>
        <w:t xml:space="preserve"> </w:t>
      </w:r>
      <w:r w:rsidRPr="005A3FF3">
        <w:rPr>
          <w:lang w:val="en-GB"/>
        </w:rPr>
        <w:t>and carrying out verification checks.</w:t>
      </w:r>
      <w:r w:rsidR="006133C2" w:rsidRPr="005A3FF3">
        <w:rPr>
          <w:rStyle w:val="FootnoteReference"/>
          <w:lang w:val="en-GB"/>
        </w:rPr>
        <w:footnoteReference w:id="3"/>
      </w:r>
      <w:r w:rsidRPr="005A3FF3">
        <w:rPr>
          <w:lang w:val="en-GB"/>
        </w:rPr>
        <w:t xml:space="preserve"> </w:t>
      </w:r>
      <w:r w:rsidRPr="005A3FF3">
        <w:rPr>
          <w:b/>
          <w:bCs w:val="0"/>
          <w:lang w:val="en-GB" w:eastAsia="en-GB"/>
        </w:rPr>
        <w:t>UK Regulated Financial institutions</w:t>
      </w:r>
      <w:r w:rsidRPr="005A3FF3">
        <w:rPr>
          <w:bCs w:val="0"/>
          <w:lang w:val="en-GB" w:eastAsia="en-GB"/>
        </w:rPr>
        <w:t xml:space="preserve"> (institution</w:t>
      </w:r>
      <w:r w:rsidRPr="005A3FF3">
        <w:rPr>
          <w:lang w:val="en-GB" w:eastAsia="en-GB"/>
        </w:rPr>
        <w:t>s</w:t>
      </w:r>
      <w:r w:rsidRPr="005A3FF3">
        <w:rPr>
          <w:bCs w:val="0"/>
          <w:lang w:val="en-GB" w:eastAsia="en-GB"/>
        </w:rPr>
        <w:t xml:space="preserve"> regulated by the Financial Conduct Authority (FCA) or Prudential Regulation </w:t>
      </w:r>
      <w:r w:rsidR="00465B9F" w:rsidRPr="005A3FF3">
        <w:rPr>
          <w:bCs w:val="0"/>
          <w:lang w:val="en-GB" w:eastAsia="en-GB"/>
        </w:rPr>
        <w:t>A</w:t>
      </w:r>
      <w:r w:rsidRPr="005A3FF3">
        <w:rPr>
          <w:bCs w:val="0"/>
          <w:lang w:val="en-GB" w:eastAsia="en-GB"/>
        </w:rPr>
        <w:t>uthority (PRA)</w:t>
      </w:r>
      <w:r w:rsidR="00135A6C" w:rsidRPr="005A3FF3">
        <w:rPr>
          <w:bCs w:val="0"/>
          <w:lang w:val="en-GB" w:eastAsia="en-GB"/>
        </w:rPr>
        <w:t>)</w:t>
      </w:r>
      <w:r w:rsidRPr="005A3FF3">
        <w:rPr>
          <w:bCs w:val="0"/>
          <w:lang w:val="en-GB" w:eastAsia="en-GB"/>
        </w:rPr>
        <w:t xml:space="preserve"> are competent for carrying out due diligence checks</w:t>
      </w:r>
      <w:r w:rsidRPr="005A3FF3">
        <w:rPr>
          <w:lang w:val="en-GB" w:eastAsia="en-GB"/>
        </w:rPr>
        <w:t xml:space="preserve">, in accordance with </w:t>
      </w:r>
      <w:r w:rsidR="00465B9F" w:rsidRPr="005A3FF3">
        <w:rPr>
          <w:lang w:val="en-GB" w:eastAsia="en-GB"/>
        </w:rPr>
        <w:t xml:space="preserve">anti-money </w:t>
      </w:r>
      <w:r w:rsidRPr="005A3FF3">
        <w:rPr>
          <w:lang w:val="en-GB" w:eastAsia="en-GB"/>
        </w:rPr>
        <w:t xml:space="preserve">laundering regulations. </w:t>
      </w:r>
    </w:p>
    <w:p w14:paraId="5D5E0C46" w14:textId="77777777" w:rsidR="006957E0" w:rsidRPr="005A3FF3" w:rsidRDefault="006957E0" w:rsidP="00662799">
      <w:pPr>
        <w:widowControl w:val="0"/>
        <w:spacing w:after="0" w:line="240" w:lineRule="auto"/>
        <w:jc w:val="both"/>
        <w:rPr>
          <w:b/>
          <w:color w:val="000000" w:themeColor="text1"/>
        </w:rPr>
      </w:pPr>
    </w:p>
    <w:p w14:paraId="7C09D236" w14:textId="3B29567E" w:rsidR="00C20061" w:rsidRPr="005A3FF3" w:rsidRDefault="00F60AE6" w:rsidP="00662799">
      <w:pPr>
        <w:spacing w:after="0" w:line="240" w:lineRule="auto"/>
        <w:jc w:val="both"/>
        <w:rPr>
          <w:b/>
          <w:i/>
          <w:color w:val="000000" w:themeColor="text1"/>
          <w:sz w:val="22"/>
          <w:szCs w:val="22"/>
        </w:rPr>
      </w:pPr>
      <w:r w:rsidRPr="005A3FF3">
        <w:rPr>
          <w:b/>
          <w:i/>
          <w:color w:val="000000" w:themeColor="text1"/>
          <w:sz w:val="22"/>
          <w:szCs w:val="22"/>
        </w:rPr>
        <w:t xml:space="preserve">Conditions and </w:t>
      </w:r>
      <w:r w:rsidR="00135A6C" w:rsidRPr="005A3FF3">
        <w:rPr>
          <w:b/>
          <w:i/>
          <w:color w:val="000000" w:themeColor="text1"/>
          <w:sz w:val="22"/>
          <w:szCs w:val="22"/>
        </w:rPr>
        <w:t>p</w:t>
      </w:r>
      <w:r w:rsidR="00C20061" w:rsidRPr="005A3FF3">
        <w:rPr>
          <w:b/>
          <w:i/>
          <w:color w:val="000000" w:themeColor="text1"/>
          <w:sz w:val="22"/>
          <w:szCs w:val="22"/>
        </w:rPr>
        <w:t>rocedure</w:t>
      </w:r>
    </w:p>
    <w:p w14:paraId="3204570B" w14:textId="77777777" w:rsidR="000652CE" w:rsidRPr="005A3FF3" w:rsidRDefault="000652CE" w:rsidP="00662799">
      <w:pPr>
        <w:spacing w:after="0" w:line="240" w:lineRule="auto"/>
        <w:jc w:val="both"/>
        <w:rPr>
          <w:b/>
          <w:i/>
          <w:color w:val="000000" w:themeColor="text1"/>
          <w:sz w:val="22"/>
          <w:szCs w:val="22"/>
        </w:rPr>
      </w:pPr>
    </w:p>
    <w:p w14:paraId="63E013F7" w14:textId="7C3DE3DC" w:rsidR="00846BB9" w:rsidRPr="005A3FF3" w:rsidRDefault="006133C2" w:rsidP="006957E0">
      <w:pPr>
        <w:pStyle w:val="MBT"/>
        <w:rPr>
          <w:i/>
          <w:u w:val="single"/>
          <w:lang w:val="en-GB"/>
        </w:rPr>
      </w:pPr>
      <w:r w:rsidRPr="005A3FF3">
        <w:rPr>
          <w:i/>
          <w:u w:val="single"/>
          <w:lang w:val="en-GB"/>
        </w:rPr>
        <w:t>Conditions</w:t>
      </w:r>
    </w:p>
    <w:p w14:paraId="266AE790" w14:textId="5341F336" w:rsidR="006957E0" w:rsidRPr="005A3FF3" w:rsidRDefault="00D91236" w:rsidP="006957E0">
      <w:pPr>
        <w:pStyle w:val="MBT"/>
        <w:rPr>
          <w:lang w:val="en-GB"/>
        </w:rPr>
      </w:pPr>
      <w:r w:rsidRPr="005A3FF3">
        <w:rPr>
          <w:lang w:val="en-GB"/>
        </w:rPr>
        <w:t>The following investment criteria apply:</w:t>
      </w:r>
      <w:r w:rsidR="006133C2" w:rsidRPr="005A3FF3">
        <w:rPr>
          <w:vertAlign w:val="superscript"/>
          <w:lang w:val="en-GB"/>
        </w:rPr>
        <w:footnoteReference w:id="4"/>
      </w:r>
    </w:p>
    <w:p w14:paraId="6E424A50" w14:textId="77777777" w:rsidR="006957E0" w:rsidRPr="005A3FF3" w:rsidRDefault="00D91236" w:rsidP="006957E0">
      <w:pPr>
        <w:pStyle w:val="MBT"/>
        <w:numPr>
          <w:ilvl w:val="0"/>
          <w:numId w:val="18"/>
        </w:numPr>
        <w:rPr>
          <w:lang w:val="en-GB"/>
        </w:rPr>
      </w:pPr>
      <w:r w:rsidRPr="005A3FF3">
        <w:rPr>
          <w:lang w:val="en-GB"/>
        </w:rPr>
        <w:t xml:space="preserve">Applicants must have </w:t>
      </w:r>
      <w:r w:rsidRPr="005A3FF3">
        <w:rPr>
          <w:b/>
          <w:lang w:val="en-GB"/>
        </w:rPr>
        <w:t>m</w:t>
      </w:r>
      <w:r w:rsidR="006957E0" w:rsidRPr="005A3FF3">
        <w:rPr>
          <w:b/>
          <w:lang w:val="en-GB"/>
        </w:rPr>
        <w:t>oney of their own under their control</w:t>
      </w:r>
      <w:r w:rsidR="006957E0" w:rsidRPr="005A3FF3">
        <w:rPr>
          <w:lang w:val="en-GB"/>
        </w:rPr>
        <w:t xml:space="preserve"> held in a regulated financial institution and disposable in the UK amounting to </w:t>
      </w:r>
      <w:r w:rsidR="006957E0" w:rsidRPr="005A3FF3">
        <w:rPr>
          <w:b/>
          <w:lang w:val="en-GB"/>
        </w:rPr>
        <w:t>not less than GBP 2 million</w:t>
      </w:r>
      <w:r w:rsidR="006957E0" w:rsidRPr="005A3FF3">
        <w:rPr>
          <w:lang w:val="en-GB"/>
        </w:rPr>
        <w:t xml:space="preserve">; and </w:t>
      </w:r>
    </w:p>
    <w:p w14:paraId="0029D873" w14:textId="77777777" w:rsidR="006957E0" w:rsidRPr="005A3FF3" w:rsidRDefault="00D91236" w:rsidP="006957E0">
      <w:pPr>
        <w:pStyle w:val="MBT"/>
        <w:numPr>
          <w:ilvl w:val="0"/>
          <w:numId w:val="18"/>
        </w:numPr>
        <w:rPr>
          <w:lang w:val="en-GB"/>
        </w:rPr>
      </w:pPr>
      <w:r w:rsidRPr="005A3FF3">
        <w:rPr>
          <w:lang w:val="en-GB"/>
        </w:rPr>
        <w:t>Applicants must have o</w:t>
      </w:r>
      <w:r w:rsidR="006957E0" w:rsidRPr="005A3FF3">
        <w:rPr>
          <w:lang w:val="en-GB"/>
        </w:rPr>
        <w:t xml:space="preserve">pened an </w:t>
      </w:r>
      <w:r w:rsidR="006957E0" w:rsidRPr="005A3FF3">
        <w:rPr>
          <w:b/>
          <w:lang w:val="en-GB"/>
        </w:rPr>
        <w:t>account with a UK regulated bank</w:t>
      </w:r>
      <w:r w:rsidR="006957E0" w:rsidRPr="005A3FF3">
        <w:rPr>
          <w:lang w:val="en-GB"/>
        </w:rPr>
        <w:t xml:space="preserve"> for the purposes of investing </w:t>
      </w:r>
      <w:r w:rsidR="006957E0" w:rsidRPr="005A3FF3">
        <w:rPr>
          <w:b/>
          <w:lang w:val="en-GB"/>
        </w:rPr>
        <w:t>not less than GBP 2 million</w:t>
      </w:r>
      <w:r w:rsidR="006957E0" w:rsidRPr="005A3FF3">
        <w:rPr>
          <w:lang w:val="en-GB"/>
        </w:rPr>
        <w:t xml:space="preserve"> in the UK.</w:t>
      </w:r>
    </w:p>
    <w:p w14:paraId="60617124" w14:textId="77777777" w:rsidR="006957E0" w:rsidRPr="005A3FF3" w:rsidRDefault="006957E0" w:rsidP="006957E0">
      <w:pPr>
        <w:pStyle w:val="MBT"/>
        <w:rPr>
          <w:lang w:val="en-GB"/>
        </w:rPr>
      </w:pPr>
    </w:p>
    <w:p w14:paraId="153E6938" w14:textId="199058DC" w:rsidR="00D91236" w:rsidRPr="005A3FF3" w:rsidRDefault="006957E0" w:rsidP="006957E0">
      <w:pPr>
        <w:pStyle w:val="MBT"/>
        <w:rPr>
          <w:lang w:val="en-GB"/>
        </w:rPr>
      </w:pPr>
      <w:r w:rsidRPr="005A3FF3">
        <w:rPr>
          <w:lang w:val="en-GB"/>
        </w:rPr>
        <w:t>The</w:t>
      </w:r>
      <w:r w:rsidRPr="005A3FF3">
        <w:rPr>
          <w:b/>
          <w:lang w:val="en-GB"/>
        </w:rPr>
        <w:t xml:space="preserve"> investments must be in UK government bonds, or share or loan capital in active and trading UK-registered companies. </w:t>
      </w:r>
      <w:r w:rsidRPr="005A3FF3">
        <w:rPr>
          <w:lang w:val="en-GB"/>
        </w:rPr>
        <w:t>The</w:t>
      </w:r>
      <w:r w:rsidR="00D91236" w:rsidRPr="005A3FF3">
        <w:rPr>
          <w:lang w:val="en-GB"/>
        </w:rPr>
        <w:t xml:space="preserve"> following</w:t>
      </w:r>
      <w:r w:rsidRPr="005A3FF3">
        <w:rPr>
          <w:lang w:val="en-GB"/>
        </w:rPr>
        <w:t xml:space="preserve"> evidence</w:t>
      </w:r>
      <w:r w:rsidR="00D91236" w:rsidRPr="005A3FF3">
        <w:rPr>
          <w:lang w:val="en-GB"/>
        </w:rPr>
        <w:t xml:space="preserve"> is required:</w:t>
      </w:r>
      <w:bookmarkStart w:id="0" w:name="_Hlk514406079"/>
      <w:r w:rsidR="006133C2" w:rsidRPr="005A3FF3">
        <w:rPr>
          <w:vertAlign w:val="superscript"/>
          <w:lang w:val="en-GB"/>
        </w:rPr>
        <w:footnoteReference w:id="5"/>
      </w:r>
      <w:bookmarkEnd w:id="0"/>
    </w:p>
    <w:p w14:paraId="165743DE" w14:textId="7AE4ACD3" w:rsidR="006F7BD5" w:rsidRPr="005A3FF3" w:rsidRDefault="00D91236" w:rsidP="006F7BD5">
      <w:pPr>
        <w:pStyle w:val="MBT"/>
        <w:numPr>
          <w:ilvl w:val="0"/>
          <w:numId w:val="18"/>
        </w:numPr>
        <w:rPr>
          <w:b/>
          <w:lang w:val="en-GB"/>
        </w:rPr>
      </w:pPr>
      <w:r w:rsidRPr="005A3FF3">
        <w:rPr>
          <w:lang w:val="en-GB"/>
        </w:rPr>
        <w:t>Evidence of the investment</w:t>
      </w:r>
      <w:r w:rsidR="006F7BD5" w:rsidRPr="005A3FF3">
        <w:rPr>
          <w:lang w:val="en-GB"/>
        </w:rPr>
        <w:t xml:space="preserve">: </w:t>
      </w:r>
    </w:p>
    <w:p w14:paraId="2CD349CE" w14:textId="77777777" w:rsidR="00D91236" w:rsidRPr="005A3FF3" w:rsidRDefault="006F7BD5" w:rsidP="006F7BD5">
      <w:pPr>
        <w:pStyle w:val="MBT"/>
        <w:numPr>
          <w:ilvl w:val="0"/>
          <w:numId w:val="22"/>
        </w:numPr>
        <w:rPr>
          <w:lang w:val="en-GB"/>
        </w:rPr>
      </w:pPr>
      <w:r w:rsidRPr="005A3FF3">
        <w:rPr>
          <w:lang w:val="en-GB"/>
        </w:rPr>
        <w:t>If the portfolio of investments is managed by a UK regulated financial institution: l</w:t>
      </w:r>
      <w:r w:rsidR="00D91236" w:rsidRPr="005A3FF3">
        <w:rPr>
          <w:lang w:val="en-GB"/>
        </w:rPr>
        <w:t xml:space="preserve">etter or portfolio report from a UK regulated financial institution.  </w:t>
      </w:r>
    </w:p>
    <w:p w14:paraId="40C3397B" w14:textId="046E0464" w:rsidR="00D91236" w:rsidRPr="005A3FF3" w:rsidRDefault="006D5C0A" w:rsidP="00D91236">
      <w:pPr>
        <w:pStyle w:val="MBT"/>
        <w:numPr>
          <w:ilvl w:val="0"/>
          <w:numId w:val="22"/>
        </w:numPr>
        <w:rPr>
          <w:lang w:val="en-GB"/>
        </w:rPr>
      </w:pPr>
      <w:r w:rsidRPr="005A3FF3">
        <w:rPr>
          <w:lang w:val="en-GB"/>
        </w:rPr>
        <w:t>If the portfolio of investments is managed by the applicant or a portfolio manager that is not a UK regulated financial institution:</w:t>
      </w:r>
      <w:r w:rsidR="006F7BD5" w:rsidRPr="005A3FF3">
        <w:rPr>
          <w:lang w:val="en-GB"/>
        </w:rPr>
        <w:t xml:space="preserve"> letter or portfolio report and</w:t>
      </w:r>
      <w:r w:rsidRPr="005A3FF3">
        <w:rPr>
          <w:lang w:val="en-GB"/>
        </w:rPr>
        <w:t xml:space="preserve"> d</w:t>
      </w:r>
      <w:r w:rsidR="00D91236" w:rsidRPr="005A3FF3">
        <w:rPr>
          <w:lang w:val="en-GB"/>
        </w:rPr>
        <w:t xml:space="preserve">ocumentary evidence of the applicant’s holdings used in </w:t>
      </w:r>
      <w:r w:rsidR="005A3FF3" w:rsidRPr="005A3FF3">
        <w:rPr>
          <w:lang w:val="en-GB"/>
        </w:rPr>
        <w:t>the application</w:t>
      </w:r>
      <w:r w:rsidR="00D91236" w:rsidRPr="005A3FF3">
        <w:rPr>
          <w:lang w:val="en-GB"/>
        </w:rPr>
        <w:t>, including certified copies of bond documents; share documents; trust fund</w:t>
      </w:r>
      <w:r w:rsidRPr="005A3FF3">
        <w:rPr>
          <w:lang w:val="en-GB"/>
        </w:rPr>
        <w:t xml:space="preserve"> document</w:t>
      </w:r>
      <w:r w:rsidR="006F7BD5" w:rsidRPr="005A3FF3">
        <w:rPr>
          <w:lang w:val="en-GB"/>
        </w:rPr>
        <w:t>.</w:t>
      </w:r>
    </w:p>
    <w:p w14:paraId="1C80EEC4" w14:textId="77777777" w:rsidR="00D91236" w:rsidRPr="005A3FF3" w:rsidRDefault="006F7BD5" w:rsidP="00D91236">
      <w:pPr>
        <w:pStyle w:val="MBT"/>
        <w:numPr>
          <w:ilvl w:val="0"/>
          <w:numId w:val="22"/>
        </w:numPr>
        <w:rPr>
          <w:lang w:val="en-GB"/>
        </w:rPr>
      </w:pPr>
      <w:r w:rsidRPr="005A3FF3">
        <w:rPr>
          <w:lang w:val="en-GB"/>
        </w:rPr>
        <w:t>If the money is in a UK regulated bank: p</w:t>
      </w:r>
      <w:r w:rsidR="00D91236" w:rsidRPr="005A3FF3">
        <w:rPr>
          <w:lang w:val="en-GB"/>
        </w:rPr>
        <w:t>ersonal bank statements or a letter from a</w:t>
      </w:r>
      <w:r w:rsidR="00D91236" w:rsidRPr="005A3FF3">
        <w:rPr>
          <w:lang w:val="en-GB"/>
        </w:rPr>
        <w:br/>
        <w:t>regulated bank (if the money is in a UK regulated bank)</w:t>
      </w:r>
    </w:p>
    <w:p w14:paraId="195488D5" w14:textId="77777777" w:rsidR="00D91236" w:rsidRPr="005A3FF3" w:rsidRDefault="00D91236" w:rsidP="00D91236">
      <w:pPr>
        <w:pStyle w:val="MBT"/>
        <w:numPr>
          <w:ilvl w:val="0"/>
          <w:numId w:val="18"/>
        </w:numPr>
        <w:rPr>
          <w:lang w:val="en-GB"/>
        </w:rPr>
      </w:pPr>
      <w:r w:rsidRPr="005A3FF3">
        <w:rPr>
          <w:lang w:val="en-GB"/>
        </w:rPr>
        <w:t>Confirmation that the money can be transferred into the UK if the money is overseas</w:t>
      </w:r>
      <w:r w:rsidR="00063922" w:rsidRPr="005A3FF3">
        <w:rPr>
          <w:lang w:val="en-GB"/>
        </w:rPr>
        <w:t>;</w:t>
      </w:r>
    </w:p>
    <w:p w14:paraId="5B120C9F" w14:textId="763BFB24" w:rsidR="00D91236" w:rsidRPr="005A3FF3" w:rsidRDefault="00D91236" w:rsidP="00D91236">
      <w:pPr>
        <w:pStyle w:val="MBT"/>
        <w:numPr>
          <w:ilvl w:val="0"/>
          <w:numId w:val="18"/>
        </w:numPr>
        <w:rPr>
          <w:lang w:val="en-GB"/>
        </w:rPr>
      </w:pPr>
      <w:r w:rsidRPr="005A3FF3">
        <w:rPr>
          <w:lang w:val="en-GB"/>
        </w:rPr>
        <w:t xml:space="preserve">Copy of a </w:t>
      </w:r>
      <w:r w:rsidRPr="005A3FF3">
        <w:rPr>
          <w:b/>
          <w:lang w:val="en-GB"/>
        </w:rPr>
        <w:t>criminal record certificate</w:t>
      </w:r>
      <w:r w:rsidRPr="005A3FF3">
        <w:rPr>
          <w:lang w:val="en-GB"/>
        </w:rPr>
        <w:t xml:space="preserve"> from the relevant authority in any country in which the applicant </w:t>
      </w:r>
      <w:r w:rsidR="002869C2" w:rsidRPr="005A3FF3">
        <w:rPr>
          <w:lang w:val="en-GB"/>
        </w:rPr>
        <w:t xml:space="preserve">has </w:t>
      </w:r>
      <w:r w:rsidRPr="005A3FF3">
        <w:rPr>
          <w:lang w:val="en-GB"/>
        </w:rPr>
        <w:t>been present for 12 months or more in the past 10 years.</w:t>
      </w:r>
    </w:p>
    <w:p w14:paraId="5E7B2745" w14:textId="77777777" w:rsidR="006957E0" w:rsidRPr="005A3FF3" w:rsidRDefault="006957E0" w:rsidP="00D91236">
      <w:pPr>
        <w:pStyle w:val="MBT"/>
        <w:ind w:left="720"/>
        <w:rPr>
          <w:lang w:val="en-GB"/>
        </w:rPr>
      </w:pPr>
    </w:p>
    <w:p w14:paraId="359E7768" w14:textId="17B3E123" w:rsidR="00846BB9" w:rsidRPr="005A3FF3" w:rsidRDefault="00846BB9" w:rsidP="00662799">
      <w:pPr>
        <w:pStyle w:val="MBT"/>
        <w:rPr>
          <w:lang w:val="en-GB"/>
        </w:rPr>
      </w:pPr>
      <w:r w:rsidRPr="005A3FF3">
        <w:rPr>
          <w:lang w:val="en-GB"/>
        </w:rPr>
        <w:t xml:space="preserve">Applicants must also provide </w:t>
      </w:r>
      <w:r w:rsidRPr="005A3FF3">
        <w:rPr>
          <w:b/>
          <w:lang w:val="en-GB"/>
        </w:rPr>
        <w:t>evidence of the source of the money</w:t>
      </w:r>
      <w:r w:rsidRPr="005A3FF3">
        <w:rPr>
          <w:lang w:val="en-GB"/>
        </w:rPr>
        <w:t xml:space="preserve"> when funds have not been held in the bank account or portfolio for three consecutive months or more. Sources of money that can be considered include gifts, deeds of sale, evidence from a business, wills, divorce settlements, awards or winning</w:t>
      </w:r>
      <w:r w:rsidR="002869C2" w:rsidRPr="005A3FF3">
        <w:rPr>
          <w:lang w:val="en-GB"/>
        </w:rPr>
        <w:t>s</w:t>
      </w:r>
      <w:r w:rsidRPr="005A3FF3">
        <w:rPr>
          <w:lang w:val="en-GB"/>
        </w:rPr>
        <w:t xml:space="preserve"> or money from another source.  </w:t>
      </w:r>
    </w:p>
    <w:p w14:paraId="1B57957E" w14:textId="77777777" w:rsidR="00846BB9" w:rsidRPr="005A3FF3" w:rsidRDefault="00846BB9" w:rsidP="00662799">
      <w:pPr>
        <w:pStyle w:val="MBT"/>
        <w:ind w:left="720"/>
        <w:rPr>
          <w:lang w:val="en-GB"/>
        </w:rPr>
      </w:pPr>
    </w:p>
    <w:p w14:paraId="0A0ECBE8" w14:textId="77777777" w:rsidR="00863E3C" w:rsidRPr="005A3FF3" w:rsidRDefault="00863E3C" w:rsidP="00662799">
      <w:pPr>
        <w:spacing w:after="0" w:line="240" w:lineRule="auto"/>
        <w:jc w:val="both"/>
        <w:rPr>
          <w:rFonts w:eastAsia="Times New Roman"/>
          <w:bCs/>
          <w:sz w:val="22"/>
          <w:szCs w:val="22"/>
          <w:lang w:eastAsia="fr-FR"/>
        </w:rPr>
      </w:pPr>
      <w:r w:rsidRPr="005A3FF3">
        <w:rPr>
          <w:rFonts w:eastAsia="Times New Roman"/>
          <w:bCs/>
          <w:sz w:val="22"/>
          <w:szCs w:val="22"/>
          <w:lang w:eastAsia="fr-FR"/>
        </w:rPr>
        <w:t xml:space="preserve">The </w:t>
      </w:r>
      <w:r w:rsidRPr="005A3FF3">
        <w:rPr>
          <w:rFonts w:eastAsia="Times New Roman"/>
          <w:b/>
          <w:bCs/>
          <w:sz w:val="22"/>
          <w:szCs w:val="22"/>
          <w:lang w:eastAsia="fr-FR"/>
        </w:rPr>
        <w:t>physical presence</w:t>
      </w:r>
      <w:r w:rsidRPr="005A3FF3">
        <w:rPr>
          <w:rFonts w:eastAsia="Times New Roman"/>
          <w:bCs/>
          <w:sz w:val="22"/>
          <w:szCs w:val="22"/>
          <w:lang w:eastAsia="fr-FR"/>
        </w:rPr>
        <w:t xml:space="preserve"> of the appli</w:t>
      </w:r>
      <w:bookmarkStart w:id="2" w:name="_GoBack"/>
      <w:bookmarkEnd w:id="2"/>
      <w:r w:rsidRPr="005A3FF3">
        <w:rPr>
          <w:rFonts w:eastAsia="Times New Roman"/>
          <w:bCs/>
          <w:sz w:val="22"/>
          <w:szCs w:val="22"/>
          <w:lang w:eastAsia="fr-FR"/>
        </w:rPr>
        <w:t xml:space="preserve">cant is not required. </w:t>
      </w:r>
    </w:p>
    <w:p w14:paraId="74323DEB" w14:textId="15BE7554" w:rsidR="00662799" w:rsidRPr="005A3FF3" w:rsidRDefault="006133C2" w:rsidP="00662799">
      <w:pPr>
        <w:pStyle w:val="MBT"/>
        <w:rPr>
          <w:i/>
          <w:u w:val="single"/>
          <w:lang w:val="en-GB"/>
        </w:rPr>
      </w:pPr>
      <w:r w:rsidRPr="005A3FF3">
        <w:rPr>
          <w:i/>
          <w:u w:val="single"/>
          <w:lang w:val="en-GB"/>
        </w:rPr>
        <w:lastRenderedPageBreak/>
        <w:t>Procedure</w:t>
      </w:r>
    </w:p>
    <w:p w14:paraId="46A7C200" w14:textId="77777777" w:rsidR="006133C2" w:rsidRPr="005A3FF3" w:rsidRDefault="006133C2" w:rsidP="006133C2">
      <w:pPr>
        <w:pStyle w:val="MBT"/>
        <w:rPr>
          <w:lang w:val="en-GB"/>
        </w:rPr>
      </w:pPr>
      <w:r w:rsidRPr="005A3FF3">
        <w:rPr>
          <w:lang w:val="en-GB"/>
        </w:rPr>
        <w:t xml:space="preserve">Third-country national investors can make an </w:t>
      </w:r>
      <w:r w:rsidRPr="005A3FF3">
        <w:rPr>
          <w:b/>
          <w:lang w:val="en-GB"/>
        </w:rPr>
        <w:t xml:space="preserve">initial application for Leave to Enter </w:t>
      </w:r>
      <w:r w:rsidRPr="005A3FF3">
        <w:rPr>
          <w:lang w:val="en-GB"/>
        </w:rPr>
        <w:t xml:space="preserve">if they have not held entry clearance as Tier 1 (investor) migrants in the 12 months immediately before the date of their application.  </w:t>
      </w:r>
    </w:p>
    <w:p w14:paraId="66F6D97A" w14:textId="77777777" w:rsidR="006133C2" w:rsidRPr="005A3FF3" w:rsidRDefault="006133C2" w:rsidP="00662799">
      <w:pPr>
        <w:pStyle w:val="MBT"/>
        <w:rPr>
          <w:lang w:val="en-GB"/>
        </w:rPr>
      </w:pPr>
    </w:p>
    <w:p w14:paraId="76BF5599" w14:textId="0DD8A22E" w:rsidR="00863E3C" w:rsidRPr="005A3FF3" w:rsidRDefault="00863E3C" w:rsidP="00662799">
      <w:pPr>
        <w:pStyle w:val="MBT"/>
        <w:rPr>
          <w:lang w:val="en-GB"/>
        </w:rPr>
      </w:pPr>
      <w:r w:rsidRPr="005A3FF3">
        <w:rPr>
          <w:lang w:val="en-GB"/>
        </w:rPr>
        <w:t>I</w:t>
      </w:r>
      <w:r w:rsidRPr="005A3FF3">
        <w:rPr>
          <w:color w:val="000000" w:themeColor="text1"/>
          <w:lang w:val="en-GB"/>
        </w:rPr>
        <w:t xml:space="preserve">f successful, the applicant is granted a visa of an initial period of </w:t>
      </w:r>
      <w:r w:rsidRPr="005A3FF3">
        <w:rPr>
          <w:b/>
          <w:color w:val="000000" w:themeColor="text1"/>
          <w:lang w:val="en-GB"/>
        </w:rPr>
        <w:t xml:space="preserve">Leave </w:t>
      </w:r>
      <w:r w:rsidR="002869C2" w:rsidRPr="005A3FF3">
        <w:rPr>
          <w:b/>
          <w:color w:val="000000" w:themeColor="text1"/>
          <w:lang w:val="en-GB"/>
        </w:rPr>
        <w:t>to</w:t>
      </w:r>
      <w:r w:rsidRPr="005A3FF3">
        <w:rPr>
          <w:b/>
          <w:color w:val="000000" w:themeColor="text1"/>
          <w:lang w:val="en-GB"/>
        </w:rPr>
        <w:t xml:space="preserve"> Enter</w:t>
      </w:r>
      <w:r w:rsidRPr="005A3FF3">
        <w:rPr>
          <w:color w:val="000000" w:themeColor="text1"/>
          <w:lang w:val="en-GB"/>
        </w:rPr>
        <w:t xml:space="preserve"> the UK and remain for </w:t>
      </w:r>
      <w:r w:rsidRPr="005A3FF3">
        <w:rPr>
          <w:b/>
          <w:color w:val="000000" w:themeColor="text1"/>
          <w:lang w:val="en-GB"/>
        </w:rPr>
        <w:t xml:space="preserve">three years and four months. </w:t>
      </w:r>
      <w:r w:rsidRPr="005A3FF3">
        <w:rPr>
          <w:color w:val="000000" w:themeColor="text1"/>
          <w:lang w:val="en-GB"/>
        </w:rPr>
        <w:t xml:space="preserve">After this period, an </w:t>
      </w:r>
      <w:r w:rsidRPr="005A3FF3">
        <w:rPr>
          <w:b/>
          <w:color w:val="000000" w:themeColor="text1"/>
          <w:lang w:val="en-GB"/>
        </w:rPr>
        <w:t xml:space="preserve">extension </w:t>
      </w:r>
      <w:r w:rsidRPr="005A3FF3">
        <w:rPr>
          <w:color w:val="000000" w:themeColor="text1"/>
          <w:lang w:val="en-GB"/>
        </w:rPr>
        <w:t xml:space="preserve">of two years can be granted, which is known as a </w:t>
      </w:r>
      <w:r w:rsidRPr="005A3FF3">
        <w:rPr>
          <w:b/>
          <w:color w:val="000000" w:themeColor="text1"/>
          <w:lang w:val="en-GB"/>
        </w:rPr>
        <w:t>Leave to Remain</w:t>
      </w:r>
      <w:r w:rsidRPr="005A3FF3">
        <w:rPr>
          <w:color w:val="000000" w:themeColor="text1"/>
          <w:lang w:val="en-GB"/>
        </w:rPr>
        <w:t>.</w:t>
      </w:r>
      <w:r w:rsidR="00662799" w:rsidRPr="005A3FF3">
        <w:rPr>
          <w:color w:val="000000" w:themeColor="text1"/>
          <w:lang w:val="en-GB"/>
        </w:rPr>
        <w:t xml:space="preserve"> </w:t>
      </w:r>
      <w:r w:rsidR="00B60637" w:rsidRPr="005A3FF3">
        <w:rPr>
          <w:lang w:val="en-GB"/>
        </w:rPr>
        <w:t>Third-country national investors qualify</w:t>
      </w:r>
      <w:r w:rsidRPr="005A3FF3">
        <w:rPr>
          <w:lang w:val="en-GB"/>
        </w:rPr>
        <w:t xml:space="preserve"> for </w:t>
      </w:r>
      <w:r w:rsidRPr="005A3FF3">
        <w:rPr>
          <w:b/>
          <w:lang w:val="en-GB"/>
        </w:rPr>
        <w:t>Indefinite Leave to Remain</w:t>
      </w:r>
      <w:r w:rsidRPr="005A3FF3">
        <w:rPr>
          <w:lang w:val="en-GB"/>
        </w:rPr>
        <w:t xml:space="preserve"> </w:t>
      </w:r>
      <w:r w:rsidR="000B29D1" w:rsidRPr="005A3FF3">
        <w:rPr>
          <w:lang w:val="en-GB"/>
        </w:rPr>
        <w:t xml:space="preserve">(settlement) </w:t>
      </w:r>
      <w:r w:rsidRPr="005A3FF3">
        <w:rPr>
          <w:lang w:val="en-GB"/>
        </w:rPr>
        <w:t xml:space="preserve">after </w:t>
      </w:r>
      <w:r w:rsidR="00846BB9" w:rsidRPr="005A3FF3">
        <w:rPr>
          <w:lang w:val="en-GB"/>
        </w:rPr>
        <w:t>five</w:t>
      </w:r>
      <w:r w:rsidRPr="005A3FF3">
        <w:rPr>
          <w:lang w:val="en-GB"/>
        </w:rPr>
        <w:t xml:space="preserve"> years</w:t>
      </w:r>
      <w:r w:rsidR="000B29D1" w:rsidRPr="005A3FF3">
        <w:rPr>
          <w:lang w:val="en-GB"/>
        </w:rPr>
        <w:t xml:space="preserve"> in the UK during a continuous period</w:t>
      </w:r>
      <w:r w:rsidRPr="005A3FF3">
        <w:rPr>
          <w:lang w:val="en-GB"/>
        </w:rPr>
        <w:t xml:space="preserve"> (which can be reduced to two years for investors investing </w:t>
      </w:r>
      <w:r w:rsidRPr="005A3FF3">
        <w:rPr>
          <w:b/>
          <w:lang w:val="en-GB"/>
        </w:rPr>
        <w:t>GBP 10 million</w:t>
      </w:r>
      <w:r w:rsidRPr="005A3FF3">
        <w:rPr>
          <w:lang w:val="en-GB"/>
        </w:rPr>
        <w:t xml:space="preserve"> and three years for investors investing </w:t>
      </w:r>
      <w:r w:rsidRPr="005A3FF3">
        <w:rPr>
          <w:b/>
          <w:lang w:val="en-GB"/>
        </w:rPr>
        <w:t>GBP 5 million</w:t>
      </w:r>
      <w:r w:rsidRPr="005A3FF3">
        <w:rPr>
          <w:lang w:val="en-GB"/>
        </w:rPr>
        <w:t>)</w:t>
      </w:r>
      <w:r w:rsidR="000B29D1" w:rsidRPr="005A3FF3">
        <w:rPr>
          <w:lang w:val="en-GB"/>
        </w:rPr>
        <w:t>. A</w:t>
      </w:r>
      <w:r w:rsidRPr="005A3FF3">
        <w:rPr>
          <w:lang w:val="en-GB"/>
        </w:rPr>
        <w:t xml:space="preserve">pplicants should not have been absent from the UK for more than 180 days during any </w:t>
      </w:r>
      <w:r w:rsidR="005A3FF3" w:rsidRPr="005A3FF3">
        <w:rPr>
          <w:lang w:val="en-GB"/>
        </w:rPr>
        <w:t>12-month</w:t>
      </w:r>
      <w:r w:rsidRPr="005A3FF3">
        <w:rPr>
          <w:lang w:val="en-GB"/>
        </w:rPr>
        <w:t xml:space="preserve"> period in the continuous period</w:t>
      </w:r>
      <w:r w:rsidR="000B29D1" w:rsidRPr="005A3FF3">
        <w:rPr>
          <w:lang w:val="en-GB"/>
        </w:rPr>
        <w:t xml:space="preserve">. </w:t>
      </w:r>
    </w:p>
    <w:p w14:paraId="2543BA55" w14:textId="77777777" w:rsidR="000B29D1" w:rsidRPr="005A3FF3" w:rsidRDefault="000B29D1" w:rsidP="00662799">
      <w:pPr>
        <w:spacing w:after="0" w:line="240" w:lineRule="auto"/>
        <w:jc w:val="both"/>
        <w:rPr>
          <w:i/>
          <w:color w:val="FF0000"/>
          <w:sz w:val="22"/>
          <w:szCs w:val="22"/>
        </w:rPr>
      </w:pPr>
    </w:p>
    <w:p w14:paraId="32500A26" w14:textId="6431C282" w:rsidR="000B29D1" w:rsidRPr="005A3FF3" w:rsidRDefault="000B29D1" w:rsidP="00662799">
      <w:pPr>
        <w:pStyle w:val="MBT"/>
        <w:rPr>
          <w:lang w:val="en-GB"/>
        </w:rPr>
      </w:pPr>
      <w:r w:rsidRPr="005A3FF3">
        <w:rPr>
          <w:lang w:val="en-GB"/>
        </w:rPr>
        <w:t xml:space="preserve">General </w:t>
      </w:r>
      <w:r w:rsidRPr="005A3FF3">
        <w:rPr>
          <w:b/>
          <w:lang w:val="en-GB"/>
        </w:rPr>
        <w:t>grounds for the refusal</w:t>
      </w:r>
      <w:r w:rsidRPr="005A3FF3">
        <w:rPr>
          <w:lang w:val="en-GB"/>
        </w:rPr>
        <w:t xml:space="preserve"> of Leave to Enter or Leave to Remain in the UK are set out in the Immigration Rules </w:t>
      </w:r>
      <w:r w:rsidR="00846BB9" w:rsidRPr="005A3FF3">
        <w:rPr>
          <w:lang w:val="en-GB"/>
        </w:rPr>
        <w:t>(</w:t>
      </w:r>
      <w:r w:rsidR="002869C2" w:rsidRPr="005A3FF3">
        <w:rPr>
          <w:lang w:val="en-GB"/>
        </w:rPr>
        <w:t xml:space="preserve">paragraphs </w:t>
      </w:r>
      <w:r w:rsidRPr="005A3FF3">
        <w:rPr>
          <w:lang w:val="en-GB"/>
        </w:rPr>
        <w:t>320-322</w:t>
      </w:r>
      <w:r w:rsidR="00846BB9" w:rsidRPr="005A3FF3">
        <w:rPr>
          <w:lang w:val="en-GB"/>
        </w:rPr>
        <w:t>)</w:t>
      </w:r>
      <w:r w:rsidRPr="005A3FF3">
        <w:rPr>
          <w:lang w:val="en-GB"/>
        </w:rPr>
        <w:t xml:space="preserve">, relating particularly to breach of immigration rules and public order considerations. </w:t>
      </w:r>
    </w:p>
    <w:p w14:paraId="43A22148" w14:textId="77777777" w:rsidR="000B29D1" w:rsidRPr="005A3FF3" w:rsidRDefault="000B29D1" w:rsidP="00662799">
      <w:pPr>
        <w:pStyle w:val="MBT"/>
        <w:rPr>
          <w:lang w:val="en-GB"/>
        </w:rPr>
      </w:pPr>
    </w:p>
    <w:p w14:paraId="3DE399F4" w14:textId="77777777" w:rsidR="000B29D1" w:rsidRPr="005A3FF3" w:rsidRDefault="000B29D1" w:rsidP="00662799">
      <w:pPr>
        <w:pStyle w:val="MBT"/>
        <w:rPr>
          <w:bCs w:val="0"/>
          <w:lang w:val="en-GB"/>
        </w:rPr>
      </w:pPr>
      <w:r w:rsidRPr="005A3FF3">
        <w:rPr>
          <w:bCs w:val="0"/>
          <w:lang w:val="en-GB"/>
        </w:rPr>
        <w:t xml:space="preserve">The Immigration Act 2014 introduced changes to the </w:t>
      </w:r>
      <w:r w:rsidRPr="005A3FF3">
        <w:rPr>
          <w:b/>
          <w:bCs w:val="0"/>
          <w:lang w:val="en-GB"/>
        </w:rPr>
        <w:t>rights of appeal</w:t>
      </w:r>
      <w:r w:rsidRPr="005A3FF3">
        <w:rPr>
          <w:bCs w:val="0"/>
          <w:lang w:val="en-GB"/>
        </w:rPr>
        <w:t xml:space="preserve"> of immigration decisions</w:t>
      </w:r>
      <w:r w:rsidR="00B60637" w:rsidRPr="005A3FF3">
        <w:rPr>
          <w:bCs w:val="0"/>
          <w:lang w:val="en-GB"/>
        </w:rPr>
        <w:t xml:space="preserve"> which came into effect on March 2015. While a</w:t>
      </w:r>
      <w:r w:rsidR="00B60637" w:rsidRPr="005A3FF3">
        <w:rPr>
          <w:lang w:val="en-GB"/>
        </w:rPr>
        <w:t>pplications for Leave to Remain made before 2 March 2015 are eligible for appeal, a</w:t>
      </w:r>
      <w:r w:rsidR="00B60637" w:rsidRPr="005A3FF3">
        <w:rPr>
          <w:bCs w:val="0"/>
          <w:lang w:val="en-GB"/>
        </w:rPr>
        <w:t>pplications made</w:t>
      </w:r>
      <w:r w:rsidRPr="005A3FF3">
        <w:rPr>
          <w:bCs w:val="0"/>
          <w:lang w:val="en-GB"/>
        </w:rPr>
        <w:t xml:space="preserve"> on or after 2 March 2015 cannot be appealed. </w:t>
      </w:r>
    </w:p>
    <w:p w14:paraId="518E2585" w14:textId="77777777" w:rsidR="00B60637" w:rsidRPr="005A3FF3" w:rsidRDefault="00B60637" w:rsidP="00662799">
      <w:pPr>
        <w:pStyle w:val="MBT"/>
        <w:rPr>
          <w:lang w:val="en-GB"/>
        </w:rPr>
      </w:pPr>
    </w:p>
    <w:p w14:paraId="332DAF6E" w14:textId="2CCA5377" w:rsidR="003726B4" w:rsidRPr="005A3FF3" w:rsidRDefault="003726B4" w:rsidP="00662799">
      <w:pPr>
        <w:spacing w:after="0" w:line="240" w:lineRule="auto"/>
        <w:jc w:val="both"/>
        <w:rPr>
          <w:i/>
          <w:color w:val="000000" w:themeColor="text1"/>
          <w:sz w:val="22"/>
          <w:szCs w:val="22"/>
          <w:u w:val="single"/>
        </w:rPr>
      </w:pPr>
      <w:r w:rsidRPr="005A3FF3">
        <w:rPr>
          <w:i/>
          <w:color w:val="000000" w:themeColor="text1"/>
          <w:sz w:val="22"/>
          <w:szCs w:val="22"/>
          <w:u w:val="single"/>
        </w:rPr>
        <w:t>Security and ex-post checks</w:t>
      </w:r>
      <w:r w:rsidR="006133C2" w:rsidRPr="005A3FF3">
        <w:rPr>
          <w:rStyle w:val="FootnoteReference"/>
          <w:color w:val="000000" w:themeColor="text1"/>
          <w:sz w:val="22"/>
          <w:szCs w:val="22"/>
        </w:rPr>
        <w:footnoteReference w:id="6"/>
      </w:r>
      <w:r w:rsidRPr="005A3FF3">
        <w:rPr>
          <w:color w:val="000000" w:themeColor="text1"/>
          <w:sz w:val="22"/>
          <w:szCs w:val="22"/>
        </w:rPr>
        <w:t xml:space="preserve"> </w:t>
      </w:r>
    </w:p>
    <w:p w14:paraId="2D55555A" w14:textId="70A16EFC" w:rsidR="003726B4" w:rsidRPr="005A3FF3" w:rsidRDefault="003726B4" w:rsidP="00662799">
      <w:pPr>
        <w:pStyle w:val="MBT"/>
        <w:rPr>
          <w:lang w:val="en-GB"/>
        </w:rPr>
      </w:pPr>
      <w:r w:rsidRPr="005A3FF3">
        <w:rPr>
          <w:lang w:val="en-GB"/>
        </w:rPr>
        <w:t xml:space="preserve">During the assessment of Leave to Enter or Leave to Remain applications, the </w:t>
      </w:r>
      <w:r w:rsidRPr="005A3FF3">
        <w:rPr>
          <w:b/>
          <w:lang w:val="en-GB"/>
        </w:rPr>
        <w:t xml:space="preserve">Home Office </w:t>
      </w:r>
      <w:r w:rsidRPr="005A3FF3">
        <w:rPr>
          <w:lang w:val="en-GB"/>
        </w:rPr>
        <w:t xml:space="preserve">carries out </w:t>
      </w:r>
      <w:r w:rsidRPr="005A3FF3">
        <w:rPr>
          <w:b/>
          <w:lang w:val="en-GB"/>
        </w:rPr>
        <w:t xml:space="preserve">verification checks </w:t>
      </w:r>
      <w:r w:rsidRPr="005A3FF3">
        <w:rPr>
          <w:lang w:val="en-GB"/>
        </w:rPr>
        <w:t xml:space="preserve">when there are reasonable doubts that the documents are genuine. They also carry out </w:t>
      </w:r>
      <w:r w:rsidRPr="005A3FF3">
        <w:rPr>
          <w:b/>
          <w:lang w:val="en-GB"/>
        </w:rPr>
        <w:t>other checks</w:t>
      </w:r>
      <w:r w:rsidRPr="005A3FF3">
        <w:rPr>
          <w:lang w:val="en-GB"/>
        </w:rPr>
        <w:t xml:space="preserve"> when there are doubts about an application or the documents sent with the application but the doubts are not serious enough to make a verification check. Both types of checks are usually similar and involve checking the details or genuineness of documents with government departments as well as the accuracy and authenticity of documents with banks and professional bodies.  </w:t>
      </w:r>
    </w:p>
    <w:p w14:paraId="3DB8398F" w14:textId="77777777" w:rsidR="003726B4" w:rsidRPr="005A3FF3" w:rsidRDefault="003726B4" w:rsidP="00662799">
      <w:pPr>
        <w:pStyle w:val="MBT"/>
        <w:rPr>
          <w:lang w:val="en-GB"/>
        </w:rPr>
      </w:pPr>
    </w:p>
    <w:p w14:paraId="3F1AF43F" w14:textId="7C22B9AA" w:rsidR="003726B4" w:rsidRPr="005A3FF3" w:rsidRDefault="003726B4" w:rsidP="00662799">
      <w:pPr>
        <w:spacing w:after="0" w:line="240" w:lineRule="auto"/>
        <w:jc w:val="both"/>
      </w:pPr>
      <w:r w:rsidRPr="005A3FF3">
        <w:rPr>
          <w:rFonts w:eastAsia="Times New Roman"/>
          <w:bCs/>
          <w:sz w:val="22"/>
          <w:szCs w:val="22"/>
          <w:lang w:eastAsia="fr-FR"/>
        </w:rPr>
        <w:t xml:space="preserve">As applicants must open a bank account with a UK </w:t>
      </w:r>
      <w:r w:rsidR="002869C2" w:rsidRPr="005A3FF3">
        <w:rPr>
          <w:rFonts w:eastAsia="Times New Roman"/>
          <w:bCs/>
          <w:sz w:val="22"/>
          <w:szCs w:val="22"/>
          <w:lang w:eastAsia="fr-FR"/>
        </w:rPr>
        <w:t xml:space="preserve">regulated financial </w:t>
      </w:r>
      <w:r w:rsidRPr="005A3FF3">
        <w:rPr>
          <w:rFonts w:eastAsia="Times New Roman"/>
          <w:bCs/>
          <w:sz w:val="22"/>
          <w:szCs w:val="22"/>
          <w:lang w:eastAsia="fr-FR"/>
        </w:rPr>
        <w:t xml:space="preserve">institution, they are subject to </w:t>
      </w:r>
      <w:r w:rsidRPr="005A3FF3">
        <w:rPr>
          <w:rFonts w:eastAsia="Times New Roman"/>
          <w:b/>
          <w:bCs/>
          <w:sz w:val="22"/>
          <w:szCs w:val="22"/>
          <w:lang w:eastAsia="fr-FR"/>
        </w:rPr>
        <w:t>diligence procedures</w:t>
      </w:r>
      <w:r w:rsidRPr="005A3FF3">
        <w:rPr>
          <w:rFonts w:eastAsia="Times New Roman"/>
          <w:bCs/>
          <w:sz w:val="22"/>
          <w:szCs w:val="22"/>
          <w:lang w:eastAsia="fr-FR"/>
        </w:rPr>
        <w:t xml:space="preserve"> under the UK Money Laundering, Terrorist Financing and Transfer of Funds (Information on the Payer) Regulations 2017</w:t>
      </w:r>
      <w:r w:rsidR="006A1558" w:rsidRPr="005A3FF3">
        <w:rPr>
          <w:rFonts w:eastAsia="Times New Roman"/>
          <w:bCs/>
          <w:sz w:val="22"/>
          <w:szCs w:val="22"/>
          <w:lang w:eastAsia="fr-FR"/>
        </w:rPr>
        <w:t xml:space="preserve"> (Money Laundering Regulations)</w:t>
      </w:r>
      <w:r w:rsidRPr="005A3FF3">
        <w:rPr>
          <w:rFonts w:eastAsia="Times New Roman"/>
          <w:bCs/>
          <w:sz w:val="22"/>
          <w:szCs w:val="22"/>
          <w:lang w:eastAsia="fr-FR"/>
        </w:rPr>
        <w:t>.</w:t>
      </w:r>
      <w:r w:rsidR="00662799" w:rsidRPr="005A3FF3">
        <w:rPr>
          <w:rFonts w:eastAsia="Times New Roman"/>
          <w:bCs/>
          <w:sz w:val="22"/>
          <w:szCs w:val="22"/>
          <w:vertAlign w:val="superscript"/>
          <w:lang w:eastAsia="fr-FR"/>
        </w:rPr>
        <w:footnoteReference w:id="7"/>
      </w:r>
      <w:r w:rsidR="00662799" w:rsidRPr="005A3FF3">
        <w:rPr>
          <w:rFonts w:eastAsia="Times New Roman"/>
          <w:bCs/>
          <w:sz w:val="22"/>
          <w:szCs w:val="22"/>
          <w:lang w:eastAsia="fr-FR"/>
        </w:rPr>
        <w:t xml:space="preserve"> </w:t>
      </w:r>
      <w:r w:rsidRPr="005A3FF3">
        <w:rPr>
          <w:sz w:val="22"/>
          <w:szCs w:val="22"/>
        </w:rPr>
        <w:t xml:space="preserve">Applicants are required to make their investment within three months of entering the UK. While the Home Office can conduct compliance assurance activity </w:t>
      </w:r>
      <w:r w:rsidR="002869C2" w:rsidRPr="005A3FF3">
        <w:rPr>
          <w:sz w:val="22"/>
          <w:szCs w:val="22"/>
        </w:rPr>
        <w:t>it</w:t>
      </w:r>
      <w:r w:rsidRPr="005A3FF3">
        <w:rPr>
          <w:sz w:val="22"/>
          <w:szCs w:val="22"/>
        </w:rPr>
        <w:t xml:space="preserve"> discover</w:t>
      </w:r>
      <w:r w:rsidR="002869C2" w:rsidRPr="005A3FF3">
        <w:rPr>
          <w:sz w:val="22"/>
          <w:szCs w:val="22"/>
        </w:rPr>
        <w:t>s</w:t>
      </w:r>
      <w:r w:rsidRPr="005A3FF3">
        <w:rPr>
          <w:sz w:val="22"/>
          <w:szCs w:val="22"/>
        </w:rPr>
        <w:t xml:space="preserve"> that the Tier 1 (investor) has not made the required investments during the initial grant of leave, the majority of applicants will only show the </w:t>
      </w:r>
      <w:r w:rsidRPr="005A3FF3">
        <w:rPr>
          <w:b/>
          <w:sz w:val="22"/>
          <w:szCs w:val="22"/>
        </w:rPr>
        <w:t xml:space="preserve">proof of the investment </w:t>
      </w:r>
      <w:r w:rsidRPr="005A3FF3">
        <w:rPr>
          <w:sz w:val="22"/>
          <w:szCs w:val="22"/>
        </w:rPr>
        <w:t>when making an extension application (after three years of entering the UK).</w:t>
      </w:r>
    </w:p>
    <w:p w14:paraId="217F266B" w14:textId="77777777" w:rsidR="00662799" w:rsidRPr="005A3FF3" w:rsidRDefault="00662799" w:rsidP="00662799">
      <w:pPr>
        <w:pStyle w:val="MBT"/>
        <w:rPr>
          <w:i/>
          <w:lang w:val="en-GB"/>
        </w:rPr>
      </w:pPr>
    </w:p>
    <w:p w14:paraId="7169EFC7" w14:textId="1674FF9F" w:rsidR="003726B4" w:rsidRPr="005A3FF3" w:rsidRDefault="000D4F81" w:rsidP="00662799">
      <w:pPr>
        <w:pStyle w:val="MBT"/>
        <w:rPr>
          <w:i/>
          <w:u w:val="single"/>
          <w:lang w:val="en-GB"/>
        </w:rPr>
      </w:pPr>
      <w:r w:rsidRPr="005A3FF3">
        <w:rPr>
          <w:i/>
          <w:u w:val="single"/>
          <w:lang w:val="en-GB"/>
        </w:rPr>
        <w:t>Family members</w:t>
      </w:r>
    </w:p>
    <w:p w14:paraId="55424332" w14:textId="1E3D21D6" w:rsidR="000D4F81" w:rsidRPr="005A3FF3" w:rsidRDefault="002869C2" w:rsidP="00662799">
      <w:pPr>
        <w:pStyle w:val="MBT"/>
        <w:rPr>
          <w:lang w:val="en-GB"/>
        </w:rPr>
      </w:pPr>
      <w:r w:rsidRPr="005A3FF3">
        <w:rPr>
          <w:lang w:val="en-GB"/>
        </w:rPr>
        <w:t>The s</w:t>
      </w:r>
      <w:r w:rsidR="000D4F81" w:rsidRPr="005A3FF3">
        <w:rPr>
          <w:lang w:val="en-GB"/>
        </w:rPr>
        <w:t xml:space="preserve">pouse or partner and children under 18 can also apply for Leave to Enter or Leave to </w:t>
      </w:r>
      <w:r w:rsidR="00846BB9" w:rsidRPr="005A3FF3">
        <w:rPr>
          <w:lang w:val="en-GB"/>
        </w:rPr>
        <w:t>Remain</w:t>
      </w:r>
      <w:r w:rsidR="000D4F81" w:rsidRPr="005A3FF3">
        <w:rPr>
          <w:lang w:val="en-GB"/>
        </w:rPr>
        <w:t xml:space="preserve"> under the Tier 1 (investors) scheme. They must provide a criminal record certificate. </w:t>
      </w:r>
      <w:r w:rsidR="006133C2" w:rsidRPr="005A3FF3">
        <w:rPr>
          <w:lang w:val="en-GB"/>
        </w:rPr>
        <w:t>With regard to applications for Indefinite Leave for Remain</w:t>
      </w:r>
      <w:r w:rsidR="006133C2" w:rsidRPr="005A3FF3">
        <w:rPr>
          <w:b/>
          <w:lang w:val="en-GB"/>
        </w:rPr>
        <w:t xml:space="preserve">, </w:t>
      </w:r>
      <w:r w:rsidR="006133C2" w:rsidRPr="005A3FF3">
        <w:rPr>
          <w:lang w:val="en-GB"/>
        </w:rPr>
        <w:t>the same requirements apply</w:t>
      </w:r>
      <w:r w:rsidR="006133C2" w:rsidRPr="005A3FF3">
        <w:rPr>
          <w:b/>
          <w:lang w:val="en-GB"/>
        </w:rPr>
        <w:t xml:space="preserve"> </w:t>
      </w:r>
      <w:r w:rsidR="006133C2" w:rsidRPr="005A3FF3">
        <w:rPr>
          <w:lang w:val="en-GB"/>
        </w:rPr>
        <w:t>as for the main applicants. Dependents must also prove that they have been living together in the UK for the time specified (married or similar relation).</w:t>
      </w:r>
      <w:r w:rsidR="006133C2" w:rsidRPr="005A3FF3">
        <w:rPr>
          <w:rStyle w:val="FootnoteReference"/>
          <w:lang w:val="en-GB"/>
        </w:rPr>
        <w:footnoteReference w:id="8"/>
      </w:r>
    </w:p>
    <w:p w14:paraId="171C8590" w14:textId="3C3CA920" w:rsidR="003726B4" w:rsidRPr="005A3FF3" w:rsidRDefault="003726B4" w:rsidP="00662799">
      <w:pPr>
        <w:pStyle w:val="MBT"/>
        <w:rPr>
          <w:lang w:val="en-GB"/>
        </w:rPr>
      </w:pPr>
    </w:p>
    <w:p w14:paraId="7E30F2DC" w14:textId="0EF4C73F" w:rsidR="003726B4" w:rsidRPr="005A3FF3" w:rsidRDefault="003726B4" w:rsidP="00662799">
      <w:pPr>
        <w:pStyle w:val="MBT"/>
        <w:rPr>
          <w:i/>
          <w:u w:val="single"/>
          <w:lang w:val="en-GB"/>
        </w:rPr>
      </w:pPr>
      <w:r w:rsidRPr="005A3FF3">
        <w:rPr>
          <w:i/>
          <w:u w:val="single"/>
          <w:lang w:val="en-GB"/>
        </w:rPr>
        <w:t>Monitoring of the proceedings and the authorities involved</w:t>
      </w:r>
    </w:p>
    <w:p w14:paraId="5F8C86AA" w14:textId="5ABBBC73" w:rsidR="003726B4" w:rsidRPr="005A3FF3" w:rsidRDefault="003726B4" w:rsidP="00662799">
      <w:pPr>
        <w:pStyle w:val="MBT"/>
        <w:rPr>
          <w:lang w:val="en-GB"/>
        </w:rPr>
      </w:pPr>
      <w:r w:rsidRPr="005A3FF3">
        <w:rPr>
          <w:lang w:val="en-GB"/>
        </w:rPr>
        <w:t xml:space="preserve">There is </w:t>
      </w:r>
      <w:r w:rsidRPr="005A3FF3">
        <w:rPr>
          <w:b/>
          <w:lang w:val="en-GB"/>
        </w:rPr>
        <w:t>no cap</w:t>
      </w:r>
      <w:r w:rsidRPr="005A3FF3">
        <w:rPr>
          <w:lang w:val="en-GB"/>
        </w:rPr>
        <w:t xml:space="preserve"> for the Tier 1 (investors) scheme in the UK. As regards </w:t>
      </w:r>
      <w:r w:rsidRPr="005A3FF3">
        <w:rPr>
          <w:b/>
          <w:lang w:val="en-GB"/>
        </w:rPr>
        <w:t>monitoring</w:t>
      </w:r>
      <w:r w:rsidRPr="005A3FF3">
        <w:rPr>
          <w:lang w:val="en-GB"/>
        </w:rPr>
        <w:t xml:space="preserve">, supervisors from </w:t>
      </w:r>
      <w:r w:rsidRPr="005A3FF3">
        <w:rPr>
          <w:lang w:val="en-GB"/>
        </w:rPr>
        <w:lastRenderedPageBreak/>
        <w:t>private sector bodies are tasked with overseeing compliance with the Money Laundering Regulations.</w:t>
      </w:r>
    </w:p>
    <w:p w14:paraId="6A18B3DF" w14:textId="77777777" w:rsidR="000D4F81" w:rsidRPr="005A3FF3" w:rsidRDefault="000D4F81" w:rsidP="00662799">
      <w:pPr>
        <w:pStyle w:val="MBT"/>
        <w:rPr>
          <w:lang w:val="en-GB"/>
        </w:rPr>
      </w:pPr>
    </w:p>
    <w:p w14:paraId="09DC2839" w14:textId="360B7DD3" w:rsidR="003726B4" w:rsidRPr="005A3FF3" w:rsidRDefault="003726B4" w:rsidP="00662799">
      <w:pPr>
        <w:pStyle w:val="MBT"/>
        <w:rPr>
          <w:i/>
          <w:u w:val="single"/>
          <w:lang w:val="en-GB"/>
        </w:rPr>
      </w:pPr>
      <w:r w:rsidRPr="005A3FF3">
        <w:rPr>
          <w:i/>
          <w:u w:val="single"/>
          <w:lang w:val="en-GB"/>
        </w:rPr>
        <w:t>Rights</w:t>
      </w:r>
    </w:p>
    <w:p w14:paraId="50B962A1" w14:textId="375F494D" w:rsidR="000D4F81" w:rsidRPr="005A3FF3" w:rsidRDefault="000D4F81" w:rsidP="00662799">
      <w:pPr>
        <w:pStyle w:val="MBT"/>
        <w:rPr>
          <w:lang w:val="en-GB"/>
        </w:rPr>
      </w:pPr>
      <w:r w:rsidRPr="005A3FF3">
        <w:rPr>
          <w:lang w:val="en-GB"/>
        </w:rPr>
        <w:t>The Tier 1 (investor) visa grants holder</w:t>
      </w:r>
      <w:r w:rsidR="002869C2" w:rsidRPr="005A3FF3">
        <w:rPr>
          <w:lang w:val="en-GB"/>
        </w:rPr>
        <w:t>s</w:t>
      </w:r>
      <w:r w:rsidRPr="005A3FF3">
        <w:rPr>
          <w:lang w:val="en-GB"/>
        </w:rPr>
        <w:t xml:space="preserve"> and their family members the</w:t>
      </w:r>
      <w:r w:rsidRPr="005A3FF3">
        <w:rPr>
          <w:b/>
          <w:lang w:val="en-GB"/>
        </w:rPr>
        <w:t xml:space="preserve"> right</w:t>
      </w:r>
      <w:r w:rsidR="008E712A" w:rsidRPr="005A3FF3">
        <w:rPr>
          <w:b/>
          <w:lang w:val="en-GB"/>
        </w:rPr>
        <w:t>s</w:t>
      </w:r>
      <w:r w:rsidRPr="005A3FF3">
        <w:rPr>
          <w:lang w:val="en-GB"/>
        </w:rPr>
        <w:t xml:space="preserve"> to enter and stay, </w:t>
      </w:r>
      <w:r w:rsidR="008E712A" w:rsidRPr="005A3FF3">
        <w:rPr>
          <w:lang w:val="en-GB"/>
        </w:rPr>
        <w:t xml:space="preserve">to </w:t>
      </w:r>
      <w:r w:rsidRPr="005A3FF3">
        <w:rPr>
          <w:lang w:val="en-GB"/>
        </w:rPr>
        <w:t>work, to study, and to access the National Health Service</w:t>
      </w:r>
      <w:r w:rsidR="002869C2" w:rsidRPr="005A3FF3">
        <w:rPr>
          <w:lang w:val="en-GB"/>
        </w:rPr>
        <w:t>.</w:t>
      </w:r>
    </w:p>
    <w:p w14:paraId="09D6F9EB" w14:textId="77777777" w:rsidR="00D137C2" w:rsidRPr="005A3FF3" w:rsidRDefault="00D137C2" w:rsidP="00662799">
      <w:pPr>
        <w:pStyle w:val="MMultilevel"/>
        <w:numPr>
          <w:ilvl w:val="0"/>
          <w:numId w:val="0"/>
        </w:numPr>
        <w:rPr>
          <w:b/>
          <w:i/>
          <w:sz w:val="20"/>
          <w:szCs w:val="20"/>
          <w:lang w:val="en-GB"/>
        </w:rPr>
      </w:pPr>
      <w:bookmarkStart w:id="3" w:name="_Hlk512356075"/>
    </w:p>
    <w:bookmarkEnd w:id="3"/>
    <w:p w14:paraId="173E5DD4" w14:textId="51D57D65" w:rsidR="00D8511D" w:rsidRPr="005A3FF3" w:rsidRDefault="005C656C" w:rsidP="00662799">
      <w:pPr>
        <w:spacing w:after="0" w:line="240" w:lineRule="auto"/>
        <w:jc w:val="both"/>
        <w:rPr>
          <w:b/>
          <w:i/>
          <w:color w:val="000000" w:themeColor="text1"/>
          <w:sz w:val="22"/>
          <w:szCs w:val="22"/>
        </w:rPr>
      </w:pPr>
      <w:r w:rsidRPr="005A3FF3">
        <w:rPr>
          <w:b/>
          <w:i/>
          <w:color w:val="000000" w:themeColor="text1"/>
          <w:sz w:val="22"/>
          <w:szCs w:val="22"/>
        </w:rPr>
        <w:t>Other matters</w:t>
      </w:r>
    </w:p>
    <w:p w14:paraId="06387DBC" w14:textId="77777777" w:rsidR="002869C2" w:rsidRPr="005A3FF3" w:rsidRDefault="002869C2" w:rsidP="00662799">
      <w:pPr>
        <w:spacing w:after="0" w:line="240" w:lineRule="auto"/>
        <w:jc w:val="both"/>
        <w:rPr>
          <w:i/>
          <w:color w:val="000000" w:themeColor="text1"/>
          <w:sz w:val="22"/>
          <w:szCs w:val="22"/>
        </w:rPr>
      </w:pPr>
    </w:p>
    <w:p w14:paraId="0A055160" w14:textId="4284942D" w:rsidR="008B4A5D" w:rsidRPr="005A3FF3" w:rsidRDefault="008B4A5D" w:rsidP="00662799">
      <w:pPr>
        <w:spacing w:after="0" w:line="240" w:lineRule="auto"/>
        <w:jc w:val="both"/>
        <w:rPr>
          <w:i/>
          <w:color w:val="000000" w:themeColor="text1"/>
          <w:sz w:val="22"/>
          <w:szCs w:val="22"/>
          <w:u w:val="single"/>
        </w:rPr>
      </w:pPr>
      <w:r w:rsidRPr="005A3FF3">
        <w:rPr>
          <w:i/>
          <w:color w:val="000000" w:themeColor="text1"/>
          <w:sz w:val="22"/>
          <w:szCs w:val="22"/>
          <w:u w:val="single"/>
        </w:rPr>
        <w:t>Link with citizenship</w:t>
      </w:r>
    </w:p>
    <w:p w14:paraId="18673B91" w14:textId="789E0ADF" w:rsidR="002869C2" w:rsidRPr="005A3FF3" w:rsidRDefault="000D4F81" w:rsidP="00662799">
      <w:pPr>
        <w:pStyle w:val="MMultilevel"/>
        <w:numPr>
          <w:ilvl w:val="0"/>
          <w:numId w:val="0"/>
        </w:numPr>
        <w:rPr>
          <w:lang w:val="en-GB"/>
        </w:rPr>
      </w:pPr>
      <w:bookmarkStart w:id="4" w:name="_Hlk512356128"/>
      <w:r w:rsidRPr="005A3FF3">
        <w:rPr>
          <w:lang w:val="en-GB"/>
        </w:rPr>
        <w:t xml:space="preserve">There is </w:t>
      </w:r>
      <w:r w:rsidRPr="005A3FF3">
        <w:rPr>
          <w:b/>
          <w:lang w:val="en-GB"/>
        </w:rPr>
        <w:t xml:space="preserve">no specific route </w:t>
      </w:r>
      <w:r w:rsidRPr="005A3FF3">
        <w:rPr>
          <w:lang w:val="en-GB"/>
        </w:rPr>
        <w:t>for investors to apply for</w:t>
      </w:r>
      <w:r w:rsidRPr="005A3FF3">
        <w:rPr>
          <w:b/>
          <w:lang w:val="en-GB"/>
        </w:rPr>
        <w:t xml:space="preserve"> citizenship</w:t>
      </w:r>
      <w:r w:rsidRPr="005A3FF3">
        <w:rPr>
          <w:lang w:val="en-GB"/>
        </w:rPr>
        <w:t>. Investors who have been granted the Tier 1 investor visa can apply for citizenship through the general naturalisation procedure set out in the British Nationality Act 1981</w:t>
      </w:r>
      <w:r w:rsidR="002869C2" w:rsidRPr="005A3FF3">
        <w:rPr>
          <w:lang w:val="en-GB"/>
        </w:rPr>
        <w:t xml:space="preserve"> whereby they must be at least 18 years of age, have full capacity, meet the residence-related requirements</w:t>
      </w:r>
      <w:r w:rsidR="005F6A97" w:rsidRPr="005A3FF3">
        <w:rPr>
          <w:lang w:val="en-GB"/>
        </w:rPr>
        <w:t xml:space="preserve"> (after five years of indefinite leave to remain) </w:t>
      </w:r>
      <w:r w:rsidR="002869C2" w:rsidRPr="005A3FF3">
        <w:rPr>
          <w:lang w:val="en-GB"/>
        </w:rPr>
        <w:t xml:space="preserve">or be serving outside the UK in Crown Service, be of good character, have sufficient knowledge of English, Welsh or Scottish Gaelic language and of life in the UK and provide evidence to prove it.  Applicants must intend to have their main home in the UK or enter into or continue in Crown Service under the UK government, service under an international organisation or service in the employment of a company or association established in the UK. </w:t>
      </w:r>
    </w:p>
    <w:p w14:paraId="4EA23CFF" w14:textId="7D7E35E1" w:rsidR="000D4F81" w:rsidRPr="005A3FF3" w:rsidRDefault="000D4F81" w:rsidP="00662799">
      <w:pPr>
        <w:pStyle w:val="MMultilevel"/>
        <w:numPr>
          <w:ilvl w:val="0"/>
          <w:numId w:val="0"/>
        </w:numPr>
        <w:rPr>
          <w:lang w:val="en-GB"/>
        </w:rPr>
      </w:pPr>
    </w:p>
    <w:p w14:paraId="010148B1" w14:textId="6DE60022" w:rsidR="000652CE" w:rsidRPr="005A3FF3" w:rsidRDefault="00E97359" w:rsidP="00662799">
      <w:pPr>
        <w:spacing w:after="0" w:line="240" w:lineRule="auto"/>
        <w:jc w:val="both"/>
        <w:rPr>
          <w:i/>
          <w:u w:val="single"/>
          <w:lang w:eastAsia="en-GB"/>
        </w:rPr>
      </w:pPr>
      <w:r w:rsidRPr="005A3FF3">
        <w:rPr>
          <w:i/>
          <w:sz w:val="22"/>
          <w:szCs w:val="22"/>
          <w:u w:val="single"/>
          <w:lang w:eastAsia="en-GB"/>
        </w:rPr>
        <w:t>Statistics and economic impact</w:t>
      </w:r>
    </w:p>
    <w:p w14:paraId="66708C3F" w14:textId="4BB1BD89" w:rsidR="000652CE" w:rsidRPr="005A3FF3" w:rsidRDefault="002869C2" w:rsidP="00662799">
      <w:pPr>
        <w:spacing w:after="0" w:line="240" w:lineRule="auto"/>
        <w:jc w:val="both"/>
      </w:pPr>
      <w:r w:rsidRPr="005A3FF3">
        <w:rPr>
          <w:sz w:val="22"/>
          <w:szCs w:val="22"/>
        </w:rPr>
        <w:t xml:space="preserve">According to government statistics, between </w:t>
      </w:r>
      <w:r w:rsidR="00546DDE" w:rsidRPr="005A3FF3">
        <w:rPr>
          <w:sz w:val="22"/>
          <w:szCs w:val="22"/>
        </w:rPr>
        <w:t xml:space="preserve">2008 and 2017, 11,111 Tier 1 (investors) visas were issued by the UK Home Office, mostly to Russian and Chinese nationals. </w:t>
      </w:r>
    </w:p>
    <w:p w14:paraId="1FD2A2B2" w14:textId="77777777" w:rsidR="00546DDE" w:rsidRPr="005A3FF3" w:rsidRDefault="00546DDE" w:rsidP="00662799">
      <w:pPr>
        <w:spacing w:after="0" w:line="240" w:lineRule="auto"/>
        <w:jc w:val="both"/>
      </w:pPr>
    </w:p>
    <w:p w14:paraId="6EB84D9E" w14:textId="397B45A9" w:rsidR="00546DDE" w:rsidRPr="005A3FF3" w:rsidRDefault="00546DDE" w:rsidP="00662799">
      <w:pPr>
        <w:pStyle w:val="MBT"/>
        <w:rPr>
          <w:lang w:val="en-GB"/>
        </w:rPr>
      </w:pPr>
      <w:r w:rsidRPr="005A3FF3">
        <w:rPr>
          <w:lang w:val="en-GB"/>
        </w:rPr>
        <w:t>There was a significant decrease in the number of applications for Tier 1 (investor</w:t>
      </w:r>
      <w:r w:rsidR="002869C2" w:rsidRPr="005A3FF3">
        <w:rPr>
          <w:lang w:val="en-GB"/>
        </w:rPr>
        <w:t>s</w:t>
      </w:r>
      <w:r w:rsidRPr="005A3FF3">
        <w:rPr>
          <w:lang w:val="en-GB"/>
        </w:rPr>
        <w:t xml:space="preserve">) visas since 2014. This can partly be attributed to the increase in the minimum investment threshold (from GBP 1 million to GBP </w:t>
      </w:r>
      <w:r w:rsidR="00447403" w:rsidRPr="005A3FF3">
        <w:rPr>
          <w:lang w:val="en-GB"/>
        </w:rPr>
        <w:t xml:space="preserve">2 </w:t>
      </w:r>
      <w:r w:rsidRPr="005A3FF3">
        <w:rPr>
          <w:lang w:val="en-GB"/>
        </w:rPr>
        <w:t xml:space="preserve">million) and more stringent checks introduced in 2014, as well as growing competition from other Member States operating similar schemes. </w:t>
      </w:r>
    </w:p>
    <w:p w14:paraId="65828DC3" w14:textId="77777777" w:rsidR="002869C2" w:rsidRPr="005A3FF3" w:rsidRDefault="002869C2" w:rsidP="00662799">
      <w:pPr>
        <w:pStyle w:val="MBT"/>
        <w:rPr>
          <w:lang w:val="en-GB"/>
        </w:rPr>
      </w:pPr>
    </w:p>
    <w:p w14:paraId="58152D5D" w14:textId="40D53B8C" w:rsidR="00F9727D" w:rsidRPr="005A3FF3" w:rsidRDefault="00062F61" w:rsidP="00662799">
      <w:pPr>
        <w:spacing w:after="0" w:line="240" w:lineRule="auto"/>
        <w:jc w:val="both"/>
        <w:rPr>
          <w:sz w:val="22"/>
          <w:szCs w:val="22"/>
        </w:rPr>
      </w:pPr>
      <w:r w:rsidRPr="005A3FF3">
        <w:rPr>
          <w:sz w:val="22"/>
          <w:szCs w:val="22"/>
          <w:lang w:eastAsia="en-GB"/>
        </w:rPr>
        <w:t>While the Home Office does not publish the value of investments through the scheme, Transparency International estimated in 2015 that at least GBP 3.15</w:t>
      </w:r>
      <w:r w:rsidR="002869C2" w:rsidRPr="005A3FF3">
        <w:rPr>
          <w:sz w:val="22"/>
          <w:szCs w:val="22"/>
          <w:lang w:eastAsia="en-GB"/>
        </w:rPr>
        <w:t xml:space="preserve"> billion</w:t>
      </w:r>
      <w:r w:rsidRPr="005A3FF3">
        <w:rPr>
          <w:sz w:val="22"/>
          <w:szCs w:val="22"/>
          <w:lang w:eastAsia="en-GB"/>
        </w:rPr>
        <w:t xml:space="preserve"> entered the UK through the Tier 1 (</w:t>
      </w:r>
      <w:r w:rsidR="002869C2" w:rsidRPr="005A3FF3">
        <w:rPr>
          <w:sz w:val="22"/>
          <w:szCs w:val="22"/>
          <w:lang w:eastAsia="en-GB"/>
        </w:rPr>
        <w:t>investors</w:t>
      </w:r>
      <w:r w:rsidRPr="005A3FF3">
        <w:rPr>
          <w:sz w:val="22"/>
          <w:szCs w:val="22"/>
          <w:lang w:eastAsia="en-GB"/>
        </w:rPr>
        <w:t>) visa scheme between 2008 and 2015</w:t>
      </w:r>
      <w:r w:rsidR="00F9727D" w:rsidRPr="005A3FF3">
        <w:rPr>
          <w:sz w:val="22"/>
          <w:szCs w:val="22"/>
          <w:lang w:eastAsia="en-GB"/>
        </w:rPr>
        <w:t>.</w:t>
      </w:r>
      <w:r w:rsidR="00F9727D" w:rsidRPr="005A3FF3">
        <w:rPr>
          <w:rStyle w:val="FootnoteReference"/>
          <w:sz w:val="22"/>
          <w:szCs w:val="22"/>
          <w:lang w:eastAsia="en-GB"/>
        </w:rPr>
        <w:footnoteReference w:id="9"/>
      </w:r>
      <w:r w:rsidR="00F9727D" w:rsidRPr="005A3FF3">
        <w:rPr>
          <w:sz w:val="22"/>
          <w:szCs w:val="22"/>
        </w:rPr>
        <w:t xml:space="preserve"> </w:t>
      </w:r>
    </w:p>
    <w:p w14:paraId="3F0DD02B" w14:textId="77777777" w:rsidR="000652CE" w:rsidRPr="005A3FF3" w:rsidRDefault="000652CE" w:rsidP="00662799">
      <w:pPr>
        <w:spacing w:after="0" w:line="240" w:lineRule="auto"/>
        <w:jc w:val="both"/>
        <w:rPr>
          <w:sz w:val="22"/>
          <w:szCs w:val="22"/>
        </w:rPr>
      </w:pPr>
    </w:p>
    <w:p w14:paraId="3F7A26E5" w14:textId="4F5A451F" w:rsidR="000D4F81" w:rsidRPr="005A3FF3" w:rsidRDefault="00062F61" w:rsidP="00662799">
      <w:pPr>
        <w:pStyle w:val="MMultilevel"/>
        <w:numPr>
          <w:ilvl w:val="0"/>
          <w:numId w:val="0"/>
        </w:numPr>
        <w:rPr>
          <w:bCs w:val="0"/>
          <w:lang w:val="en-GB"/>
        </w:rPr>
      </w:pPr>
      <w:r w:rsidRPr="005A3FF3">
        <w:rPr>
          <w:lang w:val="en-GB"/>
        </w:rPr>
        <w:t xml:space="preserve">In </w:t>
      </w:r>
      <w:r w:rsidR="000D4F81" w:rsidRPr="005A3FF3">
        <w:rPr>
          <w:lang w:val="en-GB"/>
        </w:rPr>
        <w:t>2013 the Migration Advisory Committee (MAC), a non-departmental public body advising the</w:t>
      </w:r>
      <w:r w:rsidR="000D4F81" w:rsidRPr="005A3FF3">
        <w:rPr>
          <w:szCs w:val="18"/>
          <w:lang w:val="en-GB"/>
        </w:rPr>
        <w:t xml:space="preserve"> Government on migration issues</w:t>
      </w:r>
      <w:r w:rsidR="00063922" w:rsidRPr="005A3FF3">
        <w:rPr>
          <w:szCs w:val="18"/>
          <w:lang w:val="en-GB"/>
        </w:rPr>
        <w:t>,</w:t>
      </w:r>
      <w:r w:rsidRPr="005A3FF3">
        <w:rPr>
          <w:szCs w:val="18"/>
          <w:lang w:val="en-GB"/>
        </w:rPr>
        <w:t xml:space="preserve"> assessed the direct and indirect financial contribution of the</w:t>
      </w:r>
      <w:r w:rsidR="000D4F81" w:rsidRPr="005A3FF3">
        <w:rPr>
          <w:szCs w:val="18"/>
          <w:lang w:val="en-GB"/>
        </w:rPr>
        <w:t xml:space="preserve"> Tier 1 (investors) visa</w:t>
      </w:r>
      <w:r w:rsidRPr="005A3FF3">
        <w:rPr>
          <w:szCs w:val="18"/>
          <w:lang w:val="en-GB"/>
        </w:rPr>
        <w:t>.</w:t>
      </w:r>
      <w:r w:rsidR="00F9727D" w:rsidRPr="005A3FF3">
        <w:rPr>
          <w:rStyle w:val="FootnoteReference"/>
          <w:lang w:val="en-GB"/>
        </w:rPr>
        <w:t xml:space="preserve"> </w:t>
      </w:r>
      <w:r w:rsidR="00F9727D" w:rsidRPr="005A3FF3">
        <w:rPr>
          <w:rStyle w:val="FootnoteReference"/>
          <w:lang w:val="en-GB"/>
        </w:rPr>
        <w:footnoteReference w:id="10"/>
      </w:r>
      <w:r w:rsidR="00F9727D" w:rsidRPr="005A3FF3">
        <w:rPr>
          <w:lang w:val="en-GB"/>
        </w:rPr>
        <w:t xml:space="preserve"> </w:t>
      </w:r>
      <w:r w:rsidRPr="005A3FF3">
        <w:rPr>
          <w:szCs w:val="18"/>
          <w:lang w:val="en-GB"/>
        </w:rPr>
        <w:t xml:space="preserve"> </w:t>
      </w:r>
      <w:r w:rsidR="00530076" w:rsidRPr="005A3FF3">
        <w:rPr>
          <w:szCs w:val="18"/>
          <w:lang w:val="en-GB"/>
        </w:rPr>
        <w:t xml:space="preserve">It estimated the </w:t>
      </w:r>
      <w:r w:rsidR="00530076" w:rsidRPr="005A3FF3">
        <w:rPr>
          <w:b/>
          <w:szCs w:val="18"/>
          <w:lang w:val="en-GB"/>
        </w:rPr>
        <w:t>direct contribution</w:t>
      </w:r>
      <w:r w:rsidR="00530076" w:rsidRPr="005A3FF3">
        <w:rPr>
          <w:szCs w:val="18"/>
          <w:lang w:val="en-GB"/>
        </w:rPr>
        <w:t xml:space="preserve"> to be GBP 500 million per annum.   </w:t>
      </w:r>
      <w:r w:rsidRPr="005A3FF3">
        <w:rPr>
          <w:szCs w:val="18"/>
          <w:lang w:val="en-GB"/>
        </w:rPr>
        <w:t xml:space="preserve">It considered that </w:t>
      </w:r>
      <w:r w:rsidR="00530076" w:rsidRPr="005A3FF3">
        <w:rPr>
          <w:szCs w:val="18"/>
          <w:lang w:val="en-GB"/>
        </w:rPr>
        <w:t>the direct contribution</w:t>
      </w:r>
      <w:r w:rsidRPr="005A3FF3">
        <w:rPr>
          <w:szCs w:val="18"/>
          <w:lang w:val="en-GB"/>
        </w:rPr>
        <w:t xml:space="preserve"> was not significant</w:t>
      </w:r>
      <w:r w:rsidR="000D4F81" w:rsidRPr="005A3FF3">
        <w:rPr>
          <w:szCs w:val="18"/>
          <w:lang w:val="en-GB"/>
        </w:rPr>
        <w:t xml:space="preserve"> because the investments were primarily in the form of government bonds which could already be accessed from capital mark</w:t>
      </w:r>
      <w:r w:rsidRPr="005A3FF3">
        <w:rPr>
          <w:szCs w:val="18"/>
          <w:lang w:val="en-GB"/>
        </w:rPr>
        <w:t>ets</w:t>
      </w:r>
      <w:r w:rsidR="00530076" w:rsidRPr="005A3FF3">
        <w:rPr>
          <w:szCs w:val="18"/>
          <w:lang w:val="en-GB"/>
        </w:rPr>
        <w:t>.</w:t>
      </w:r>
      <w:r w:rsidRPr="005A3FF3">
        <w:rPr>
          <w:szCs w:val="18"/>
          <w:lang w:val="en-GB"/>
        </w:rPr>
        <w:t xml:space="preserve"> The </w:t>
      </w:r>
      <w:r w:rsidR="002869C2" w:rsidRPr="005A3FF3">
        <w:rPr>
          <w:szCs w:val="18"/>
          <w:lang w:val="en-GB"/>
        </w:rPr>
        <w:t xml:space="preserve">MAC </w:t>
      </w:r>
      <w:r w:rsidRPr="005A3FF3">
        <w:rPr>
          <w:szCs w:val="18"/>
          <w:lang w:val="en-GB"/>
        </w:rPr>
        <w:t xml:space="preserve">also found that </w:t>
      </w:r>
      <w:r w:rsidRPr="005A3FF3">
        <w:rPr>
          <w:bCs w:val="0"/>
          <w:lang w:val="en-GB"/>
        </w:rPr>
        <w:t>investors tend to invest at the lower end of the threshold</w:t>
      </w:r>
      <w:r w:rsidR="00530076" w:rsidRPr="005A3FF3">
        <w:rPr>
          <w:bCs w:val="0"/>
          <w:lang w:val="en-GB"/>
        </w:rPr>
        <w:t>.</w:t>
      </w:r>
    </w:p>
    <w:p w14:paraId="4C32FE6D" w14:textId="77777777" w:rsidR="00062F61" w:rsidRPr="005A3FF3" w:rsidRDefault="00062F61" w:rsidP="00662799">
      <w:pPr>
        <w:pStyle w:val="MMultilevel"/>
        <w:numPr>
          <w:ilvl w:val="0"/>
          <w:numId w:val="0"/>
        </w:numPr>
        <w:rPr>
          <w:szCs w:val="18"/>
          <w:lang w:val="en-GB"/>
        </w:rPr>
      </w:pPr>
    </w:p>
    <w:p w14:paraId="5B577044" w14:textId="551A993E" w:rsidR="00062F61" w:rsidRPr="005A3FF3" w:rsidRDefault="00062F61" w:rsidP="00662799">
      <w:pPr>
        <w:pStyle w:val="MMultilevel"/>
        <w:numPr>
          <w:ilvl w:val="0"/>
          <w:numId w:val="0"/>
        </w:numPr>
        <w:rPr>
          <w:szCs w:val="18"/>
          <w:lang w:val="en-GB"/>
        </w:rPr>
      </w:pPr>
      <w:r w:rsidRPr="005A3FF3">
        <w:rPr>
          <w:lang w:val="en-GB"/>
        </w:rPr>
        <w:t xml:space="preserve">The </w:t>
      </w:r>
      <w:r w:rsidR="002869C2" w:rsidRPr="005A3FF3">
        <w:rPr>
          <w:lang w:val="en-GB"/>
        </w:rPr>
        <w:t xml:space="preserve">MAC </w:t>
      </w:r>
      <w:r w:rsidRPr="005A3FF3">
        <w:rPr>
          <w:lang w:val="en-GB"/>
        </w:rPr>
        <w:t xml:space="preserve">however </w:t>
      </w:r>
      <w:r w:rsidR="00530076" w:rsidRPr="005A3FF3">
        <w:rPr>
          <w:lang w:val="en-GB"/>
        </w:rPr>
        <w:t>considered</w:t>
      </w:r>
      <w:r w:rsidRPr="005A3FF3">
        <w:rPr>
          <w:lang w:val="en-GB"/>
        </w:rPr>
        <w:t xml:space="preserve"> that the Tier 1 (investors) scheme benefited the UK economy through </w:t>
      </w:r>
      <w:r w:rsidRPr="005A3FF3">
        <w:rPr>
          <w:b/>
          <w:lang w:val="en-GB"/>
        </w:rPr>
        <w:t>indirect consumption by the investor</w:t>
      </w:r>
      <w:r w:rsidRPr="005A3FF3">
        <w:rPr>
          <w:lang w:val="en-GB"/>
        </w:rPr>
        <w:t>,</w:t>
      </w:r>
      <w:r w:rsidR="00530076" w:rsidRPr="005A3FF3">
        <w:rPr>
          <w:b/>
          <w:lang w:val="en-GB"/>
        </w:rPr>
        <w:t xml:space="preserve"> </w:t>
      </w:r>
      <w:r w:rsidR="00530076" w:rsidRPr="005A3FF3">
        <w:rPr>
          <w:lang w:val="en-GB"/>
        </w:rPr>
        <w:t>particularly</w:t>
      </w:r>
      <w:r w:rsidRPr="005A3FF3">
        <w:rPr>
          <w:b/>
          <w:lang w:val="en-GB"/>
        </w:rPr>
        <w:t xml:space="preserve"> </w:t>
      </w:r>
      <w:r w:rsidRPr="005A3FF3">
        <w:rPr>
          <w:lang w:val="en-GB"/>
        </w:rPr>
        <w:t>through taxation (</w:t>
      </w:r>
      <w:r w:rsidR="00530076" w:rsidRPr="005A3FF3">
        <w:rPr>
          <w:lang w:val="en-GB"/>
        </w:rPr>
        <w:t>mainl</w:t>
      </w:r>
      <w:r w:rsidRPr="005A3FF3">
        <w:rPr>
          <w:lang w:val="en-GB"/>
        </w:rPr>
        <w:t xml:space="preserve">y Value Added Tax) and professional services. </w:t>
      </w:r>
      <w:r w:rsidRPr="005A3FF3">
        <w:rPr>
          <w:bCs w:val="0"/>
          <w:lang w:val="en-GB"/>
        </w:rPr>
        <w:t>The study estimated the average expenditure on professional services (</w:t>
      </w:r>
      <w:r w:rsidRPr="005A3FF3">
        <w:rPr>
          <w:lang w:val="en-GB"/>
        </w:rPr>
        <w:t xml:space="preserve">investment advisory and wealth management, as well as legal services) </w:t>
      </w:r>
      <w:r w:rsidRPr="005A3FF3">
        <w:rPr>
          <w:bCs w:val="0"/>
          <w:lang w:val="en-GB"/>
        </w:rPr>
        <w:t>by Tier 1 investors at around GBP 50,000 per annum.</w:t>
      </w:r>
      <w:r w:rsidR="00063922" w:rsidRPr="005A3FF3">
        <w:rPr>
          <w:bCs w:val="0"/>
          <w:lang w:val="en-GB"/>
        </w:rPr>
        <w:t xml:space="preserve"> </w:t>
      </w:r>
    </w:p>
    <w:p w14:paraId="447AC448" w14:textId="77777777" w:rsidR="00062F61" w:rsidRPr="005A3FF3" w:rsidRDefault="00062F61" w:rsidP="00662799">
      <w:pPr>
        <w:pStyle w:val="MMultilevel"/>
        <w:numPr>
          <w:ilvl w:val="0"/>
          <w:numId w:val="0"/>
        </w:numPr>
        <w:rPr>
          <w:szCs w:val="18"/>
          <w:lang w:val="en-GB"/>
        </w:rPr>
      </w:pPr>
    </w:p>
    <w:bookmarkEnd w:id="4"/>
    <w:p w14:paraId="7FA132AC" w14:textId="7C2FDD98" w:rsidR="002177B9" w:rsidRPr="005A3FF3" w:rsidRDefault="00062F61" w:rsidP="006A1558">
      <w:pPr>
        <w:autoSpaceDE w:val="0"/>
        <w:autoSpaceDN w:val="0"/>
        <w:adjustRightInd w:val="0"/>
        <w:spacing w:after="0" w:line="240" w:lineRule="auto"/>
        <w:jc w:val="both"/>
        <w:rPr>
          <w:b/>
          <w:i/>
          <w:sz w:val="22"/>
          <w:szCs w:val="22"/>
        </w:rPr>
      </w:pPr>
      <w:r w:rsidRPr="005A3FF3">
        <w:rPr>
          <w:rFonts w:eastAsia="Times New Roman"/>
          <w:bCs/>
          <w:sz w:val="22"/>
          <w:lang w:eastAsia="fr-FR"/>
        </w:rPr>
        <w:t xml:space="preserve">In 2018, in the context of the alleged </w:t>
      </w:r>
      <w:r w:rsidRPr="005A3FF3">
        <w:rPr>
          <w:rFonts w:eastAsia="Times New Roman"/>
          <w:sz w:val="22"/>
          <w:szCs w:val="22"/>
          <w:lang w:eastAsia="fr-FR"/>
        </w:rPr>
        <w:t xml:space="preserve">poisoning by the Russians of the former Russian military officer and British agent Sergei Skripal, there have been calls </w:t>
      </w:r>
      <w:r w:rsidR="00F9727D" w:rsidRPr="005A3FF3">
        <w:rPr>
          <w:rFonts w:eastAsia="Times New Roman"/>
          <w:sz w:val="22"/>
          <w:szCs w:val="22"/>
          <w:lang w:eastAsia="fr-FR"/>
        </w:rPr>
        <w:t>for a</w:t>
      </w:r>
      <w:r w:rsidRPr="005A3FF3">
        <w:rPr>
          <w:rFonts w:eastAsia="Times New Roman"/>
          <w:sz w:val="22"/>
          <w:szCs w:val="22"/>
          <w:lang w:eastAsia="fr-FR"/>
        </w:rPr>
        <w:t xml:space="preserve"> </w:t>
      </w:r>
      <w:r w:rsidRPr="005A3FF3">
        <w:rPr>
          <w:rFonts w:eastAsia="Times New Roman"/>
          <w:b/>
          <w:sz w:val="22"/>
          <w:szCs w:val="22"/>
          <w:lang w:eastAsia="fr-FR"/>
        </w:rPr>
        <w:t>further review of the Tier 1 (investors) visa</w:t>
      </w:r>
      <w:r w:rsidR="00F9727D" w:rsidRPr="005A3FF3">
        <w:rPr>
          <w:rFonts w:eastAsia="Times New Roman"/>
          <w:sz w:val="22"/>
          <w:szCs w:val="22"/>
          <w:lang w:eastAsia="fr-FR"/>
        </w:rPr>
        <w:t>,</w:t>
      </w:r>
      <w:r w:rsidR="00F9727D" w:rsidRPr="005A3FF3">
        <w:rPr>
          <w:rFonts w:eastAsia="Times New Roman"/>
          <w:b/>
          <w:sz w:val="22"/>
          <w:szCs w:val="22"/>
          <w:lang w:eastAsia="fr-FR"/>
        </w:rPr>
        <w:t xml:space="preserve"> </w:t>
      </w:r>
      <w:r w:rsidR="00F9727D" w:rsidRPr="005A3FF3">
        <w:rPr>
          <w:rFonts w:eastAsia="Times New Roman"/>
          <w:sz w:val="22"/>
          <w:szCs w:val="22"/>
          <w:lang w:eastAsia="fr-FR"/>
        </w:rPr>
        <w:t>including in 2018 parliamentary debates</w:t>
      </w:r>
      <w:r w:rsidRPr="005A3FF3">
        <w:rPr>
          <w:rFonts w:eastAsia="Times New Roman"/>
          <w:sz w:val="22"/>
          <w:szCs w:val="22"/>
          <w:lang w:eastAsia="fr-FR"/>
        </w:rPr>
        <w:t xml:space="preserve">. </w:t>
      </w:r>
      <w:r w:rsidR="00530076" w:rsidRPr="005A3FF3">
        <w:rPr>
          <w:rFonts w:eastAsia="Times New Roman"/>
          <w:sz w:val="22"/>
          <w:szCs w:val="22"/>
          <w:lang w:eastAsia="fr-FR"/>
        </w:rPr>
        <w:t xml:space="preserve">These relate in particular to the </w:t>
      </w:r>
      <w:r w:rsidRPr="005A3FF3">
        <w:rPr>
          <w:rFonts w:eastAsia="Times New Roman"/>
          <w:sz w:val="22"/>
          <w:szCs w:val="22"/>
          <w:lang w:eastAsia="fr-FR"/>
        </w:rPr>
        <w:t>need for better due diligence on the source of the money and increased efforts for tackling transnational</w:t>
      </w:r>
      <w:r w:rsidRPr="005A3FF3">
        <w:rPr>
          <w:rFonts w:eastAsia="Times New Roman"/>
          <w:bCs/>
          <w:sz w:val="22"/>
          <w:lang w:eastAsia="fr-FR"/>
        </w:rPr>
        <w:t xml:space="preserve"> criminals. </w:t>
      </w:r>
      <w:r w:rsidRPr="005A3FF3">
        <w:rPr>
          <w:rFonts w:eastAsia="Times New Roman"/>
          <w:sz w:val="22"/>
          <w:szCs w:val="22"/>
          <w:lang w:eastAsia="fr-FR"/>
        </w:rPr>
        <w:t xml:space="preserve">In March </w:t>
      </w:r>
      <w:r w:rsidRPr="005A3FF3">
        <w:rPr>
          <w:rFonts w:eastAsia="Times New Roman"/>
          <w:sz w:val="22"/>
          <w:szCs w:val="22"/>
          <w:lang w:eastAsia="fr-FR"/>
        </w:rPr>
        <w:lastRenderedPageBreak/>
        <w:t>2018, the Prime Minister confirmed that the scheme was under review.</w:t>
      </w:r>
      <w:r w:rsidR="00447403" w:rsidRPr="005A3FF3">
        <w:rPr>
          <w:rFonts w:eastAsia="Times New Roman"/>
          <w:sz w:val="22"/>
          <w:szCs w:val="22"/>
          <w:lang w:eastAsia="fr-FR"/>
        </w:rPr>
        <w:t xml:space="preserve"> However, no information was provided on when the review was</w:t>
      </w:r>
      <w:r w:rsidR="00415E1E" w:rsidRPr="005A3FF3">
        <w:rPr>
          <w:rFonts w:eastAsia="Times New Roman"/>
          <w:sz w:val="22"/>
          <w:szCs w:val="22"/>
          <w:lang w:eastAsia="fr-FR"/>
        </w:rPr>
        <w:t xml:space="preserve"> </w:t>
      </w:r>
      <w:r w:rsidR="00E07488" w:rsidRPr="005A3FF3">
        <w:rPr>
          <w:rFonts w:eastAsia="Times New Roman"/>
          <w:sz w:val="22"/>
          <w:szCs w:val="22"/>
          <w:lang w:eastAsia="fr-FR"/>
        </w:rPr>
        <w:t>expected to be concluded.</w:t>
      </w:r>
      <w:r w:rsidR="00447403" w:rsidRPr="005A3FF3">
        <w:rPr>
          <w:rFonts w:eastAsia="Times New Roman"/>
          <w:sz w:val="22"/>
          <w:szCs w:val="22"/>
          <w:lang w:eastAsia="fr-FR"/>
        </w:rPr>
        <w:t xml:space="preserve"> </w:t>
      </w:r>
    </w:p>
    <w:sectPr w:rsidR="002177B9" w:rsidRPr="005A3FF3" w:rsidSect="00447403">
      <w:footerReference w:type="default" r:id="rId8"/>
      <w:pgSz w:w="11906" w:h="16838"/>
      <w:pgMar w:top="1440" w:right="1440" w:bottom="1440" w:left="1440" w:header="708" w:footer="708" w:gutter="0"/>
      <w:pgNumType w:fmt="lowerRoman"/>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FFF570" w14:textId="77777777" w:rsidR="007F6F69" w:rsidRDefault="007F6F69" w:rsidP="006957E0">
      <w:pPr>
        <w:spacing w:after="0" w:line="240" w:lineRule="auto"/>
      </w:pPr>
      <w:r>
        <w:separator/>
      </w:r>
    </w:p>
  </w:endnote>
  <w:endnote w:type="continuationSeparator" w:id="0">
    <w:p w14:paraId="6DEABD2D" w14:textId="77777777" w:rsidR="007F6F69" w:rsidRDefault="007F6F69" w:rsidP="006957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altName w:val="Calibr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5EF7F" w14:textId="77777777" w:rsidR="00447403" w:rsidRPr="00447403" w:rsidRDefault="00447403" w:rsidP="00447403">
    <w:pPr>
      <w:tabs>
        <w:tab w:val="center" w:pos="4536"/>
        <w:tab w:val="right" w:pos="9072"/>
      </w:tabs>
      <w:spacing w:after="0" w:line="240" w:lineRule="auto"/>
      <w:rPr>
        <w:rFonts w:eastAsia="Calibri"/>
      </w:rPr>
    </w:pPr>
  </w:p>
  <w:tbl>
    <w:tblPr>
      <w:tblW w:w="5000" w:type="pct"/>
      <w:tblBorders>
        <w:top w:val="single" w:sz="4" w:space="0" w:color="auto"/>
      </w:tblBorders>
      <w:tblLook w:val="01E0" w:firstRow="1" w:lastRow="1" w:firstColumn="1" w:lastColumn="1" w:noHBand="0" w:noVBand="0"/>
    </w:tblPr>
    <w:tblGrid>
      <w:gridCol w:w="2168"/>
      <w:gridCol w:w="6858"/>
    </w:tblGrid>
    <w:tr w:rsidR="00447403" w:rsidRPr="00447403" w14:paraId="73A45050" w14:textId="77777777" w:rsidTr="009B67F0">
      <w:tc>
        <w:tcPr>
          <w:tcW w:w="1201" w:type="pct"/>
        </w:tcPr>
        <w:p w14:paraId="5A418FF6" w14:textId="77777777" w:rsidR="00447403" w:rsidRPr="00447403" w:rsidRDefault="00447403" w:rsidP="00447403">
          <w:pPr>
            <w:tabs>
              <w:tab w:val="left" w:pos="1212"/>
            </w:tabs>
            <w:spacing w:after="0" w:line="240" w:lineRule="auto"/>
            <w:ind w:right="360"/>
            <w:rPr>
              <w:rFonts w:eastAsia="Times New Roman"/>
              <w:i/>
              <w:szCs w:val="24"/>
              <w:lang w:eastAsia="fr-FR"/>
            </w:rPr>
          </w:pPr>
          <w:r w:rsidRPr="00447403">
            <w:rPr>
              <w:rFonts w:eastAsia="Times New Roman"/>
              <w:i/>
              <w:szCs w:val="24"/>
              <w:lang w:eastAsia="fr-FR"/>
            </w:rPr>
            <w:t xml:space="preserve">Milieu Ltd </w:t>
          </w:r>
        </w:p>
        <w:p w14:paraId="203CAC62" w14:textId="77777777" w:rsidR="00447403" w:rsidRPr="00447403" w:rsidRDefault="00447403" w:rsidP="00447403">
          <w:pPr>
            <w:tabs>
              <w:tab w:val="center" w:pos="4153"/>
              <w:tab w:val="right" w:pos="8306"/>
            </w:tabs>
            <w:spacing w:after="0" w:line="240" w:lineRule="auto"/>
            <w:ind w:right="360"/>
            <w:rPr>
              <w:rFonts w:eastAsia="Times New Roman"/>
              <w:i/>
              <w:szCs w:val="24"/>
              <w:lang w:eastAsia="fr-FR"/>
            </w:rPr>
          </w:pPr>
          <w:r w:rsidRPr="00447403">
            <w:rPr>
              <w:rFonts w:eastAsia="Times New Roman"/>
              <w:i/>
              <w:szCs w:val="24"/>
              <w:lang w:eastAsia="fr-FR"/>
            </w:rPr>
            <w:t>Brussels, July 2018</w:t>
          </w:r>
        </w:p>
      </w:tc>
      <w:tc>
        <w:tcPr>
          <w:tcW w:w="3799" w:type="pct"/>
        </w:tcPr>
        <w:p w14:paraId="52ADE12D" w14:textId="6F36EA5E" w:rsidR="00447403" w:rsidRPr="00447403" w:rsidRDefault="00447403" w:rsidP="00447403">
          <w:pPr>
            <w:tabs>
              <w:tab w:val="center" w:pos="4153"/>
              <w:tab w:val="right" w:pos="8306"/>
            </w:tabs>
            <w:spacing w:after="0" w:line="240" w:lineRule="auto"/>
            <w:ind w:right="19"/>
            <w:jc w:val="right"/>
            <w:rPr>
              <w:rFonts w:eastAsia="Times New Roman"/>
              <w:i/>
              <w:szCs w:val="24"/>
              <w:lang w:eastAsia="fr-FR"/>
            </w:rPr>
          </w:pPr>
          <w:r w:rsidRPr="00447403">
            <w:rPr>
              <w:rFonts w:eastAsia="Times New Roman"/>
              <w:i/>
              <w:szCs w:val="24"/>
              <w:lang w:eastAsia="fr-FR"/>
            </w:rPr>
            <w:t xml:space="preserve">Executive Summary – Investors’ Residence Schemes in </w:t>
          </w:r>
          <w:r>
            <w:rPr>
              <w:rFonts w:eastAsia="Times New Roman"/>
              <w:i/>
              <w:szCs w:val="24"/>
              <w:lang w:eastAsia="fr-FR"/>
            </w:rPr>
            <w:t>United Kingdom</w:t>
          </w:r>
          <w:r w:rsidRPr="00447403">
            <w:rPr>
              <w:rFonts w:eastAsia="Times New Roman"/>
              <w:i/>
              <w:szCs w:val="24"/>
              <w:lang w:eastAsia="fr-FR"/>
            </w:rPr>
            <w:t>/</w:t>
          </w:r>
          <w:r w:rsidRPr="00447403">
            <w:rPr>
              <w:rFonts w:eastAsia="Times New Roman"/>
              <w:i/>
              <w:szCs w:val="24"/>
              <w:lang w:eastAsia="fr-FR"/>
            </w:rPr>
            <w:fldChar w:fldCharType="begin"/>
          </w:r>
          <w:r w:rsidRPr="00447403">
            <w:rPr>
              <w:rFonts w:eastAsia="Times New Roman"/>
              <w:i/>
              <w:szCs w:val="24"/>
              <w:lang w:eastAsia="fr-FR"/>
            </w:rPr>
            <w:instrText xml:space="preserve"> PAGE   \* MERGEFORMAT </w:instrText>
          </w:r>
          <w:r w:rsidRPr="00447403">
            <w:rPr>
              <w:rFonts w:eastAsia="Times New Roman"/>
              <w:i/>
              <w:szCs w:val="24"/>
              <w:lang w:eastAsia="fr-FR"/>
            </w:rPr>
            <w:fldChar w:fldCharType="separate"/>
          </w:r>
          <w:r w:rsidRPr="00447403">
            <w:rPr>
              <w:rFonts w:eastAsia="Times New Roman"/>
              <w:i/>
              <w:szCs w:val="24"/>
              <w:lang w:eastAsia="fr-FR"/>
            </w:rPr>
            <w:t>i</w:t>
          </w:r>
          <w:r w:rsidRPr="00447403">
            <w:rPr>
              <w:rFonts w:eastAsia="Times New Roman"/>
              <w:i/>
              <w:noProof/>
              <w:szCs w:val="24"/>
              <w:lang w:eastAsia="fr-FR"/>
            </w:rPr>
            <w:fldChar w:fldCharType="end"/>
          </w:r>
        </w:p>
      </w:tc>
    </w:tr>
  </w:tbl>
  <w:p w14:paraId="01AA0C85" w14:textId="77777777" w:rsidR="00447403" w:rsidRPr="00447403" w:rsidRDefault="00447403" w:rsidP="00447403">
    <w:pPr>
      <w:tabs>
        <w:tab w:val="center" w:pos="4513"/>
        <w:tab w:val="right" w:pos="9026"/>
      </w:tabs>
      <w:spacing w:after="0" w:line="240" w:lineRule="auto"/>
      <w:rPr>
        <w:rFonts w:ascii="Calibri" w:eastAsia="Calibri" w:hAnsi="Calibri"/>
        <w:sz w:val="22"/>
        <w:szCs w:val="22"/>
        <w:lang w:val="en-US"/>
      </w:rPr>
    </w:pPr>
  </w:p>
  <w:p w14:paraId="253F8CEF" w14:textId="77777777" w:rsidR="00447403" w:rsidRDefault="004474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1B8100" w14:textId="77777777" w:rsidR="007F6F69" w:rsidRDefault="007F6F69" w:rsidP="006957E0">
      <w:pPr>
        <w:spacing w:after="0" w:line="240" w:lineRule="auto"/>
      </w:pPr>
      <w:r>
        <w:separator/>
      </w:r>
    </w:p>
  </w:footnote>
  <w:footnote w:type="continuationSeparator" w:id="0">
    <w:p w14:paraId="5BBFFB5D" w14:textId="77777777" w:rsidR="007F6F69" w:rsidRDefault="007F6F69" w:rsidP="006957E0">
      <w:pPr>
        <w:spacing w:after="0" w:line="240" w:lineRule="auto"/>
      </w:pPr>
      <w:r>
        <w:continuationSeparator/>
      </w:r>
    </w:p>
  </w:footnote>
  <w:footnote w:id="1">
    <w:p w14:paraId="2560FEF5" w14:textId="50A7B61F" w:rsidR="00662799" w:rsidRPr="005A3FF3" w:rsidRDefault="00662799">
      <w:pPr>
        <w:pStyle w:val="FootnoteText"/>
      </w:pPr>
      <w:r w:rsidRPr="005A3FF3">
        <w:rPr>
          <w:rStyle w:val="FootnoteReference"/>
        </w:rPr>
        <w:footnoteRef/>
      </w:r>
      <w:r w:rsidRPr="005A3FF3">
        <w:t xml:space="preserve"> Available at </w:t>
      </w:r>
      <w:hyperlink r:id="rId1" w:history="1">
        <w:r w:rsidRPr="005A3FF3">
          <w:rPr>
            <w:rStyle w:val="Hyperlink"/>
          </w:rPr>
          <w:t>https://www.gov.uk/guidance/immigration-rules</w:t>
        </w:r>
      </w:hyperlink>
      <w:r w:rsidRPr="005A3FF3">
        <w:t xml:space="preserve"> (Immigration Rules). </w:t>
      </w:r>
    </w:p>
  </w:footnote>
  <w:footnote w:id="2">
    <w:p w14:paraId="177A1177" w14:textId="77777777" w:rsidR="00662799" w:rsidRPr="005A3FF3" w:rsidRDefault="00662799" w:rsidP="00662799">
      <w:pPr>
        <w:pStyle w:val="FootnoteText"/>
      </w:pPr>
      <w:r w:rsidRPr="005A3FF3">
        <w:rPr>
          <w:rStyle w:val="FootnoteReference"/>
          <w:szCs w:val="18"/>
        </w:rPr>
        <w:footnoteRef/>
      </w:r>
      <w:r w:rsidRPr="005A3FF3">
        <w:rPr>
          <w:szCs w:val="18"/>
        </w:rPr>
        <w:t xml:space="preserve"> </w:t>
      </w:r>
      <w:hyperlink r:id="rId2" w:history="1">
        <w:r w:rsidRPr="005A3FF3">
          <w:rPr>
            <w:rStyle w:val="Hyperlink"/>
            <w:szCs w:val="18"/>
          </w:rPr>
          <w:t>The Tier 1 (Investor) Policy Guidance</w:t>
        </w:r>
      </w:hyperlink>
      <w:r w:rsidRPr="005A3FF3">
        <w:rPr>
          <w:szCs w:val="18"/>
        </w:rPr>
        <w:t>.</w:t>
      </w:r>
    </w:p>
  </w:footnote>
  <w:footnote w:id="3">
    <w:p w14:paraId="07F74ACB" w14:textId="33F2647C" w:rsidR="006133C2" w:rsidRPr="005A3FF3" w:rsidRDefault="006133C2">
      <w:pPr>
        <w:pStyle w:val="FootnoteText"/>
      </w:pPr>
      <w:r w:rsidRPr="005A3FF3">
        <w:rPr>
          <w:rStyle w:val="FootnoteReference"/>
        </w:rPr>
        <w:footnoteRef/>
      </w:r>
      <w:r w:rsidRPr="005A3FF3">
        <w:t xml:space="preserve"> Paragraph 7A of the Immigrations Rules Part 1.</w:t>
      </w:r>
    </w:p>
  </w:footnote>
  <w:footnote w:id="4">
    <w:p w14:paraId="241C4B44" w14:textId="77777777" w:rsidR="006133C2" w:rsidRPr="005A3FF3" w:rsidRDefault="006133C2" w:rsidP="006133C2">
      <w:pPr>
        <w:pStyle w:val="FootnoteText"/>
      </w:pPr>
      <w:r w:rsidRPr="005A3FF3">
        <w:rPr>
          <w:rStyle w:val="FootnoteReference"/>
          <w:szCs w:val="18"/>
        </w:rPr>
        <w:footnoteRef/>
      </w:r>
      <w:r w:rsidRPr="005A3FF3">
        <w:rPr>
          <w:szCs w:val="18"/>
        </w:rPr>
        <w:t xml:space="preserve"> Appendix A </w:t>
      </w:r>
      <w:r w:rsidRPr="005A3FF3">
        <w:rPr>
          <w:rStyle w:val="Strong"/>
          <w:bCs w:val="0"/>
          <w:szCs w:val="18"/>
        </w:rPr>
        <w:t>Table 7: applications for entry clearance or leave to remain referred to in paragraph 55 Immigration Rules</w:t>
      </w:r>
    </w:p>
  </w:footnote>
  <w:footnote w:id="5">
    <w:p w14:paraId="51ADACD6" w14:textId="77777777" w:rsidR="006133C2" w:rsidRPr="005A3FF3" w:rsidRDefault="006133C2" w:rsidP="006133C2">
      <w:pPr>
        <w:pStyle w:val="FootnoteText"/>
      </w:pPr>
      <w:r w:rsidRPr="005A3FF3">
        <w:rPr>
          <w:rStyle w:val="FootnoteReference"/>
          <w:szCs w:val="18"/>
        </w:rPr>
        <w:footnoteRef/>
      </w:r>
      <w:r w:rsidRPr="005A3FF3">
        <w:rPr>
          <w:szCs w:val="18"/>
        </w:rPr>
        <w:t xml:space="preserve"> </w:t>
      </w:r>
      <w:bookmarkStart w:id="1" w:name="_Hlk514406096"/>
      <w:r w:rsidRPr="005A3FF3">
        <w:rPr>
          <w:szCs w:val="18"/>
        </w:rPr>
        <w:fldChar w:fldCharType="begin"/>
      </w:r>
      <w:r w:rsidRPr="005A3FF3">
        <w:rPr>
          <w:szCs w:val="18"/>
        </w:rPr>
        <w:instrText xml:space="preserve"> HYPERLINK "https://assets.publishing.service.gov.uk/government/uploads/system/uploads/attachment_data/file/673832/T1__I__Guidance_final_word_version_12012018__002__ILR.pdf" </w:instrText>
      </w:r>
      <w:r w:rsidRPr="005A3FF3">
        <w:rPr>
          <w:szCs w:val="18"/>
        </w:rPr>
        <w:fldChar w:fldCharType="separate"/>
      </w:r>
      <w:r w:rsidRPr="005A3FF3">
        <w:rPr>
          <w:rStyle w:val="Hyperlink"/>
          <w:szCs w:val="18"/>
        </w:rPr>
        <w:t>The Tier 1 (Investor) Policy Guidance</w:t>
      </w:r>
      <w:r w:rsidRPr="005A3FF3">
        <w:rPr>
          <w:szCs w:val="18"/>
        </w:rPr>
        <w:fldChar w:fldCharType="end"/>
      </w:r>
      <w:r w:rsidRPr="005A3FF3">
        <w:rPr>
          <w:szCs w:val="18"/>
        </w:rPr>
        <w:t>.</w:t>
      </w:r>
      <w:bookmarkEnd w:id="1"/>
    </w:p>
  </w:footnote>
  <w:footnote w:id="6">
    <w:p w14:paraId="68F0D16C" w14:textId="2960DE1B" w:rsidR="006133C2" w:rsidRPr="005A3FF3" w:rsidRDefault="006133C2">
      <w:pPr>
        <w:pStyle w:val="FootnoteText"/>
      </w:pPr>
      <w:r w:rsidRPr="005A3FF3">
        <w:rPr>
          <w:rStyle w:val="FootnoteReference"/>
        </w:rPr>
        <w:footnoteRef/>
      </w:r>
      <w:r w:rsidRPr="005A3FF3">
        <w:t xml:space="preserve"> Annex D Tier 1 (Investor) of the Points Based System – Policy Guidance, available at </w:t>
      </w:r>
      <w:hyperlink r:id="rId3" w:history="1">
        <w:r w:rsidRPr="005A3FF3">
          <w:rPr>
            <w:rStyle w:val="Hyperlink"/>
          </w:rPr>
          <w:t>https://assets.publishing.service.gov.uk/government/uploads/system/uploads/attachment_data/file/722474/Tier_1__Investor__Policy_Guidance_07.18.pdf</w:t>
        </w:r>
      </w:hyperlink>
      <w:r w:rsidRPr="005A3FF3">
        <w:t xml:space="preserve">; and information obtained through stakeholder consultation with the Home Office department, May 2018. </w:t>
      </w:r>
    </w:p>
  </w:footnote>
  <w:footnote w:id="7">
    <w:p w14:paraId="758EF5CE" w14:textId="77777777" w:rsidR="00662799" w:rsidRPr="005A3FF3" w:rsidRDefault="00662799" w:rsidP="00662799">
      <w:pPr>
        <w:pStyle w:val="FootnoteText"/>
      </w:pPr>
      <w:r w:rsidRPr="005A3FF3">
        <w:rPr>
          <w:rStyle w:val="FootnoteReference"/>
          <w:szCs w:val="18"/>
        </w:rPr>
        <w:footnoteRef/>
      </w:r>
      <w:r w:rsidRPr="005A3FF3">
        <w:rPr>
          <w:szCs w:val="18"/>
        </w:rPr>
        <w:t xml:space="preserve"> Available at: </w:t>
      </w:r>
      <w:hyperlink r:id="rId4" w:history="1">
        <w:r w:rsidRPr="005A3FF3">
          <w:rPr>
            <w:rStyle w:val="Hyperlink"/>
            <w:szCs w:val="18"/>
          </w:rPr>
          <w:t>https://assets.publishing.service.gov.uk/government/uploads/system/uploads/attachment_data/file/599835/Money_Laundering_Regulations_2017_-_FINAL_CONSULTATION_DRAFT_FINAL.pdf</w:t>
        </w:r>
      </w:hyperlink>
      <w:r w:rsidRPr="005A3FF3">
        <w:rPr>
          <w:szCs w:val="18"/>
        </w:rPr>
        <w:t xml:space="preserve">, accessed May 2018. </w:t>
      </w:r>
    </w:p>
  </w:footnote>
  <w:footnote w:id="8">
    <w:p w14:paraId="2A47E420" w14:textId="371998A6" w:rsidR="006133C2" w:rsidRPr="005A3FF3" w:rsidRDefault="006133C2">
      <w:pPr>
        <w:pStyle w:val="FootnoteText"/>
      </w:pPr>
      <w:r w:rsidRPr="005A3FF3">
        <w:rPr>
          <w:rStyle w:val="FootnoteReference"/>
        </w:rPr>
        <w:footnoteRef/>
      </w:r>
      <w:r w:rsidRPr="005A3FF3">
        <w:t xml:space="preserve"> Paragraph 319E if the Immigration Rules.</w:t>
      </w:r>
    </w:p>
  </w:footnote>
  <w:footnote w:id="9">
    <w:p w14:paraId="783D1B8F" w14:textId="5BA67C5B" w:rsidR="00F9727D" w:rsidRPr="005A3FF3" w:rsidRDefault="00F9727D" w:rsidP="006133C2">
      <w:pPr>
        <w:autoSpaceDE w:val="0"/>
        <w:autoSpaceDN w:val="0"/>
        <w:adjustRightInd w:val="0"/>
        <w:spacing w:after="0" w:line="240" w:lineRule="auto"/>
        <w:jc w:val="both"/>
      </w:pPr>
      <w:r w:rsidRPr="005A3FF3">
        <w:rPr>
          <w:rStyle w:val="FootnoteReference"/>
        </w:rPr>
        <w:footnoteRef/>
      </w:r>
      <w:r w:rsidRPr="005A3FF3">
        <w:t xml:space="preserve"> </w:t>
      </w:r>
      <w:r w:rsidRPr="005A3FF3">
        <w:rPr>
          <w:lang w:eastAsia="en-GB"/>
        </w:rPr>
        <w:t>Transparency International UK analysis of Home Office data available at https://www.gov.uk/government/statistics/immigration-statisticsjanuary-to-march-2015-data-tables.</w:t>
      </w:r>
      <w:r w:rsidR="006133C2" w:rsidRPr="005A3FF3">
        <w:rPr>
          <w:lang w:eastAsia="en-GB"/>
        </w:rPr>
        <w:t xml:space="preserve"> </w:t>
      </w:r>
    </w:p>
  </w:footnote>
  <w:footnote w:id="10">
    <w:p w14:paraId="5B5732A9" w14:textId="60197B5F" w:rsidR="00F9727D" w:rsidRPr="005A3FF3" w:rsidRDefault="00F9727D" w:rsidP="00F9727D">
      <w:pPr>
        <w:pStyle w:val="FootnoteText"/>
        <w:rPr>
          <w:szCs w:val="18"/>
        </w:rPr>
      </w:pPr>
      <w:r w:rsidRPr="005A3FF3">
        <w:rPr>
          <w:rStyle w:val="FootnoteReference"/>
          <w:szCs w:val="18"/>
        </w:rPr>
        <w:footnoteRef/>
      </w:r>
      <w:r w:rsidRPr="005A3FF3">
        <w:rPr>
          <w:szCs w:val="18"/>
        </w:rPr>
        <w:t xml:space="preserve"> </w:t>
      </w:r>
      <w:hyperlink r:id="rId5" w:history="1">
        <w:r w:rsidRPr="005A3FF3">
          <w:rPr>
            <w:rStyle w:val="Hyperlink"/>
            <w:bCs/>
            <w:szCs w:val="18"/>
          </w:rPr>
          <w:t>Investment thresholds and economic benefits, Tier 1 (Investor) route</w:t>
        </w:r>
      </w:hyperlink>
      <w:r w:rsidRPr="005A3FF3">
        <w:rPr>
          <w:bCs/>
          <w:szCs w:val="18"/>
        </w:rPr>
        <w:t>, Migration Advisory Committee, February 2014.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D14AE"/>
    <w:multiLevelType w:val="hybridMultilevel"/>
    <w:tmpl w:val="2072125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6521A5D"/>
    <w:multiLevelType w:val="hybridMultilevel"/>
    <w:tmpl w:val="3FCA7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8332C"/>
    <w:multiLevelType w:val="hybridMultilevel"/>
    <w:tmpl w:val="D9FE9512"/>
    <w:lvl w:ilvl="0" w:tplc="080C000F">
      <w:start w:val="1"/>
      <w:numFmt w:val="decimal"/>
      <w:lvlText w:val="%1."/>
      <w:lvlJc w:val="left"/>
      <w:pPr>
        <w:ind w:left="720" w:hanging="360"/>
      </w:pPr>
    </w:lvl>
    <w:lvl w:ilvl="1" w:tplc="E2F0CD28">
      <w:numFmt w:val="bullet"/>
      <w:lvlText w:val="-"/>
      <w:lvlJc w:val="left"/>
      <w:pPr>
        <w:ind w:left="1440" w:hanging="360"/>
      </w:pPr>
      <w:rPr>
        <w:rFonts w:ascii="Times New Roman" w:eastAsia="Times New Roman" w:hAnsi="Times New Roman" w:cs="Times New Roman" w:hint="default"/>
      </w:r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15:restartNumberingAfterBreak="0">
    <w:nsid w:val="17A6790B"/>
    <w:multiLevelType w:val="hybridMultilevel"/>
    <w:tmpl w:val="CEDC84B8"/>
    <w:lvl w:ilvl="0" w:tplc="08090015">
      <w:start w:val="1"/>
      <w:numFmt w:val="bullet"/>
      <w:lvlText w:val=""/>
      <w:lvlJc w:val="left"/>
      <w:pPr>
        <w:ind w:left="720" w:hanging="360"/>
      </w:pPr>
      <w:rPr>
        <w:rFonts w:ascii="Wingdings" w:hAnsi="Wingdings" w:hint="default"/>
        <w:b w:val="0"/>
        <w:i w:val="0"/>
        <w:color w:val="4F81BD"/>
        <w:sz w:val="16"/>
        <w:u w:color="0000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B92004"/>
    <w:multiLevelType w:val="hybridMultilevel"/>
    <w:tmpl w:val="F5FE9A30"/>
    <w:lvl w:ilvl="0" w:tplc="E2F0CD28">
      <w:numFmt w:val="bullet"/>
      <w:lvlText w:val="-"/>
      <w:lvlJc w:val="left"/>
      <w:pPr>
        <w:ind w:left="1068" w:hanging="360"/>
      </w:pPr>
      <w:rPr>
        <w:rFonts w:ascii="Times New Roman" w:eastAsia="Times New Roman" w:hAnsi="Times New Roman" w:cs="Times New Roman" w:hint="default"/>
        <w:b w:val="0"/>
        <w:i w:val="0"/>
        <w:color w:val="4F81BD"/>
        <w:sz w:val="16"/>
        <w:u w:color="000080"/>
        <w:lang w:val="en-US"/>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5" w15:restartNumberingAfterBreak="0">
    <w:nsid w:val="3BD22741"/>
    <w:multiLevelType w:val="multilevel"/>
    <w:tmpl w:val="9C94776A"/>
    <w:lvl w:ilvl="0">
      <w:start w:val="1"/>
      <w:numFmt w:val="bullet"/>
      <w:pStyle w:val="MMultilevel"/>
      <w:lvlText w:val=""/>
      <w:lvlJc w:val="left"/>
      <w:pPr>
        <w:ind w:left="425" w:hanging="425"/>
      </w:pPr>
      <w:rPr>
        <w:rFonts w:ascii="Wingdings" w:hAnsi="Wingdings" w:hint="default"/>
        <w:caps w:val="0"/>
        <w:strike w:val="0"/>
        <w:dstrike w:val="0"/>
        <w:vanish w:val="0"/>
        <w:color w:val="4472C4" w:themeColor="accent1"/>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851"/>
        </w:tabs>
        <w:ind w:left="851" w:hanging="426"/>
      </w:pPr>
      <w:rPr>
        <w:rFonts w:ascii="Wingdings" w:hAnsi="Wingdings" w:hint="default"/>
        <w:color w:val="4472C4" w:themeColor="accent1"/>
      </w:rPr>
    </w:lvl>
    <w:lvl w:ilvl="2">
      <w:start w:val="1"/>
      <w:numFmt w:val="bullet"/>
      <w:lvlText w:val=""/>
      <w:lvlJc w:val="left"/>
      <w:pPr>
        <w:tabs>
          <w:tab w:val="num" w:pos="1276"/>
        </w:tabs>
        <w:ind w:left="1276" w:hanging="425"/>
      </w:pPr>
      <w:rPr>
        <w:rFonts w:ascii="Wingdings" w:hAnsi="Wingdings" w:hint="default"/>
        <w:color w:val="7AB800"/>
      </w:rPr>
    </w:lvl>
    <w:lvl w:ilvl="3">
      <w:start w:val="1"/>
      <w:numFmt w:val="bullet"/>
      <w:lvlText w:val=""/>
      <w:lvlJc w:val="left"/>
      <w:pPr>
        <w:tabs>
          <w:tab w:val="num" w:pos="1701"/>
        </w:tabs>
        <w:ind w:left="1701" w:hanging="425"/>
      </w:pPr>
      <w:rPr>
        <w:rFonts w:ascii="Symbol" w:hAnsi="Symbol" w:hint="default"/>
        <w:caps w:val="0"/>
        <w:strike w:val="0"/>
        <w:dstrike w:val="0"/>
        <w:vanish w:val="0"/>
        <w:color w:val="7AB8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458F5304"/>
    <w:multiLevelType w:val="hybridMultilevel"/>
    <w:tmpl w:val="270444A0"/>
    <w:lvl w:ilvl="0" w:tplc="08090015">
      <w:start w:val="1"/>
      <w:numFmt w:val="bullet"/>
      <w:lvlText w:val=""/>
      <w:lvlJc w:val="left"/>
      <w:pPr>
        <w:ind w:left="720" w:hanging="360"/>
      </w:pPr>
      <w:rPr>
        <w:rFonts w:ascii="Wingdings" w:hAnsi="Wingdings" w:hint="default"/>
        <w:b w:val="0"/>
        <w:i w:val="0"/>
        <w:color w:val="4F81BD"/>
        <w:sz w:val="16"/>
        <w:u w:color="0000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DD6077"/>
    <w:multiLevelType w:val="hybridMultilevel"/>
    <w:tmpl w:val="2480BBA0"/>
    <w:lvl w:ilvl="0" w:tplc="08090015">
      <w:start w:val="1"/>
      <w:numFmt w:val="bullet"/>
      <w:lvlText w:val=""/>
      <w:lvlJc w:val="left"/>
      <w:pPr>
        <w:ind w:left="720" w:hanging="360"/>
      </w:pPr>
      <w:rPr>
        <w:rFonts w:ascii="Wingdings" w:hAnsi="Wingdings" w:hint="default"/>
        <w:b w:val="0"/>
        <w:i w:val="0"/>
        <w:color w:val="4F81BD"/>
        <w:sz w:val="16"/>
        <w:u w:color="000080"/>
      </w:r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15:restartNumberingAfterBreak="0">
    <w:nsid w:val="56280EAF"/>
    <w:multiLevelType w:val="hybridMultilevel"/>
    <w:tmpl w:val="449C72C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3CA1252"/>
    <w:multiLevelType w:val="multilevel"/>
    <w:tmpl w:val="D5D6F558"/>
    <w:lvl w:ilvl="0">
      <w:start w:val="1"/>
      <w:numFmt w:val="bullet"/>
      <w:lvlText w:val="-"/>
      <w:lvlJc w:val="left"/>
      <w:pPr>
        <w:ind w:left="425" w:hanging="425"/>
      </w:pPr>
      <w:rPr>
        <w:rFonts w:ascii="Times New Roman" w:eastAsia="Times New Roman" w:hAnsi="Times New Roman" w:cs="Times New Roman" w:hint="default"/>
        <w:caps w:val="0"/>
        <w:strike w:val="0"/>
        <w:dstrike w:val="0"/>
        <w:vanish w:val="0"/>
        <w:color w:val="FF0000"/>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851"/>
        </w:tabs>
        <w:ind w:left="851" w:hanging="426"/>
      </w:pPr>
      <w:rPr>
        <w:rFonts w:ascii="Wingdings" w:hAnsi="Wingdings" w:hint="default"/>
        <w:color w:val="4472C4" w:themeColor="accent1"/>
      </w:rPr>
    </w:lvl>
    <w:lvl w:ilvl="2">
      <w:start w:val="1"/>
      <w:numFmt w:val="bullet"/>
      <w:lvlText w:val=""/>
      <w:lvlJc w:val="left"/>
      <w:pPr>
        <w:tabs>
          <w:tab w:val="num" w:pos="1276"/>
        </w:tabs>
        <w:ind w:left="1276" w:hanging="425"/>
      </w:pPr>
      <w:rPr>
        <w:rFonts w:ascii="Wingdings" w:hAnsi="Wingdings" w:hint="default"/>
        <w:color w:val="7AB800"/>
      </w:rPr>
    </w:lvl>
    <w:lvl w:ilvl="3">
      <w:start w:val="1"/>
      <w:numFmt w:val="bullet"/>
      <w:lvlText w:val=""/>
      <w:lvlJc w:val="left"/>
      <w:pPr>
        <w:tabs>
          <w:tab w:val="num" w:pos="1701"/>
        </w:tabs>
        <w:ind w:left="1701" w:hanging="425"/>
      </w:pPr>
      <w:rPr>
        <w:rFonts w:ascii="Symbol" w:hAnsi="Symbol" w:hint="default"/>
        <w:caps w:val="0"/>
        <w:strike w:val="0"/>
        <w:dstrike w:val="0"/>
        <w:vanish w:val="0"/>
        <w:color w:val="FF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6585745F"/>
    <w:multiLevelType w:val="hybridMultilevel"/>
    <w:tmpl w:val="7982D64C"/>
    <w:lvl w:ilvl="0" w:tplc="BF04A892">
      <w:start w:val="1"/>
      <w:numFmt w:val="bullet"/>
      <w:lvlText w:val=""/>
      <w:lvlJc w:val="left"/>
      <w:pPr>
        <w:ind w:left="1068" w:hanging="360"/>
      </w:pPr>
      <w:rPr>
        <w:rFonts w:ascii="Symbol" w:hAnsi="Symbol" w:hint="default"/>
      </w:rPr>
    </w:lvl>
    <w:lvl w:ilvl="1" w:tplc="080C0003" w:tentative="1">
      <w:start w:val="1"/>
      <w:numFmt w:val="bullet"/>
      <w:lvlText w:val="o"/>
      <w:lvlJc w:val="left"/>
      <w:pPr>
        <w:ind w:left="1788" w:hanging="360"/>
      </w:pPr>
      <w:rPr>
        <w:rFonts w:ascii="Courier New" w:hAnsi="Courier New" w:cs="Courier New" w:hint="default"/>
      </w:rPr>
    </w:lvl>
    <w:lvl w:ilvl="2" w:tplc="080C0005" w:tentative="1">
      <w:start w:val="1"/>
      <w:numFmt w:val="bullet"/>
      <w:lvlText w:val=""/>
      <w:lvlJc w:val="left"/>
      <w:pPr>
        <w:ind w:left="2508" w:hanging="360"/>
      </w:pPr>
      <w:rPr>
        <w:rFonts w:ascii="Wingdings" w:hAnsi="Wingdings" w:hint="default"/>
      </w:rPr>
    </w:lvl>
    <w:lvl w:ilvl="3" w:tplc="080C0001" w:tentative="1">
      <w:start w:val="1"/>
      <w:numFmt w:val="bullet"/>
      <w:lvlText w:val=""/>
      <w:lvlJc w:val="left"/>
      <w:pPr>
        <w:ind w:left="3228" w:hanging="360"/>
      </w:pPr>
      <w:rPr>
        <w:rFonts w:ascii="Symbol" w:hAnsi="Symbol" w:hint="default"/>
      </w:rPr>
    </w:lvl>
    <w:lvl w:ilvl="4" w:tplc="080C0003" w:tentative="1">
      <w:start w:val="1"/>
      <w:numFmt w:val="bullet"/>
      <w:lvlText w:val="o"/>
      <w:lvlJc w:val="left"/>
      <w:pPr>
        <w:ind w:left="3948" w:hanging="360"/>
      </w:pPr>
      <w:rPr>
        <w:rFonts w:ascii="Courier New" w:hAnsi="Courier New" w:cs="Courier New" w:hint="default"/>
      </w:rPr>
    </w:lvl>
    <w:lvl w:ilvl="5" w:tplc="080C0005" w:tentative="1">
      <w:start w:val="1"/>
      <w:numFmt w:val="bullet"/>
      <w:lvlText w:val=""/>
      <w:lvlJc w:val="left"/>
      <w:pPr>
        <w:ind w:left="4668" w:hanging="360"/>
      </w:pPr>
      <w:rPr>
        <w:rFonts w:ascii="Wingdings" w:hAnsi="Wingdings" w:hint="default"/>
      </w:rPr>
    </w:lvl>
    <w:lvl w:ilvl="6" w:tplc="080C0001" w:tentative="1">
      <w:start w:val="1"/>
      <w:numFmt w:val="bullet"/>
      <w:lvlText w:val=""/>
      <w:lvlJc w:val="left"/>
      <w:pPr>
        <w:ind w:left="5388" w:hanging="360"/>
      </w:pPr>
      <w:rPr>
        <w:rFonts w:ascii="Symbol" w:hAnsi="Symbol" w:hint="default"/>
      </w:rPr>
    </w:lvl>
    <w:lvl w:ilvl="7" w:tplc="080C0003" w:tentative="1">
      <w:start w:val="1"/>
      <w:numFmt w:val="bullet"/>
      <w:lvlText w:val="o"/>
      <w:lvlJc w:val="left"/>
      <w:pPr>
        <w:ind w:left="6108" w:hanging="360"/>
      </w:pPr>
      <w:rPr>
        <w:rFonts w:ascii="Courier New" w:hAnsi="Courier New" w:cs="Courier New" w:hint="default"/>
      </w:rPr>
    </w:lvl>
    <w:lvl w:ilvl="8" w:tplc="080C0005" w:tentative="1">
      <w:start w:val="1"/>
      <w:numFmt w:val="bullet"/>
      <w:lvlText w:val=""/>
      <w:lvlJc w:val="left"/>
      <w:pPr>
        <w:ind w:left="6828" w:hanging="360"/>
      </w:pPr>
      <w:rPr>
        <w:rFonts w:ascii="Wingdings" w:hAnsi="Wingdings" w:hint="default"/>
      </w:rPr>
    </w:lvl>
  </w:abstractNum>
  <w:abstractNum w:abstractNumId="11" w15:restartNumberingAfterBreak="0">
    <w:nsid w:val="6ECF38F3"/>
    <w:multiLevelType w:val="hybridMultilevel"/>
    <w:tmpl w:val="ED300D4A"/>
    <w:lvl w:ilvl="0" w:tplc="08090015">
      <w:start w:val="1"/>
      <w:numFmt w:val="bullet"/>
      <w:lvlText w:val=""/>
      <w:lvlJc w:val="left"/>
      <w:pPr>
        <w:ind w:left="720" w:hanging="360"/>
      </w:pPr>
      <w:rPr>
        <w:rFonts w:ascii="Wingdings" w:hAnsi="Wingdings" w:hint="default"/>
        <w:b w:val="0"/>
        <w:i w:val="0"/>
        <w:color w:val="4F81BD"/>
        <w:sz w:val="16"/>
        <w:u w:color="00008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7C620C38"/>
    <w:multiLevelType w:val="hybridMultilevel"/>
    <w:tmpl w:val="030883F0"/>
    <w:lvl w:ilvl="0" w:tplc="8FBEED3C">
      <w:start w:val="1"/>
      <w:numFmt w:val="bullet"/>
      <w:lvlText w:val=""/>
      <w:lvlJc w:val="left"/>
      <w:pPr>
        <w:ind w:left="720" w:hanging="360"/>
      </w:pPr>
      <w:rPr>
        <w:rFonts w:ascii="Wingdings" w:hAnsi="Wingdings" w:hint="default"/>
        <w:b w:val="0"/>
        <w:i w:val="0"/>
        <w:color w:val="4F81BD"/>
        <w:sz w:val="16"/>
        <w:u w:color="0000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5"/>
  </w:num>
  <w:num w:numId="3">
    <w:abstractNumId w:val="5"/>
  </w:num>
  <w:num w:numId="4">
    <w:abstractNumId w:val="9"/>
  </w:num>
  <w:num w:numId="5">
    <w:abstractNumId w:val="5"/>
  </w:num>
  <w:num w:numId="6">
    <w:abstractNumId w:val="5"/>
  </w:num>
  <w:num w:numId="7">
    <w:abstractNumId w:val="5"/>
  </w:num>
  <w:num w:numId="8">
    <w:abstractNumId w:val="12"/>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3"/>
  </w:num>
  <w:num w:numId="19">
    <w:abstractNumId w:val="4"/>
  </w:num>
  <w:num w:numId="20">
    <w:abstractNumId w:val="1"/>
  </w:num>
  <w:num w:numId="21">
    <w:abstractNumId w:val="6"/>
  </w:num>
  <w:num w:numId="22">
    <w:abstractNumId w:val="8"/>
  </w:num>
  <w:num w:numId="23">
    <w:abstractNumId w:val="0"/>
  </w:num>
  <w:num w:numId="24">
    <w:abstractNumId w:val="10"/>
  </w:num>
  <w:num w:numId="25">
    <w:abstractNumId w:val="11"/>
  </w:num>
  <w:num w:numId="26">
    <w:abstractNumId w:val="7"/>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3631E0"/>
    <w:rsid w:val="00021465"/>
    <w:rsid w:val="00040BAD"/>
    <w:rsid w:val="00062F61"/>
    <w:rsid w:val="00063922"/>
    <w:rsid w:val="000652CE"/>
    <w:rsid w:val="00084397"/>
    <w:rsid w:val="000B29D1"/>
    <w:rsid w:val="000D0F10"/>
    <w:rsid w:val="000D1BD8"/>
    <w:rsid w:val="000D4F81"/>
    <w:rsid w:val="00135A6C"/>
    <w:rsid w:val="001821A0"/>
    <w:rsid w:val="00182D84"/>
    <w:rsid w:val="001907D6"/>
    <w:rsid w:val="0020411B"/>
    <w:rsid w:val="002177B9"/>
    <w:rsid w:val="00242966"/>
    <w:rsid w:val="002869C2"/>
    <w:rsid w:val="002A4AFA"/>
    <w:rsid w:val="00336E96"/>
    <w:rsid w:val="003631E0"/>
    <w:rsid w:val="003658BC"/>
    <w:rsid w:val="003726B4"/>
    <w:rsid w:val="003826AA"/>
    <w:rsid w:val="003C7EE3"/>
    <w:rsid w:val="00415E1E"/>
    <w:rsid w:val="00435360"/>
    <w:rsid w:val="00447403"/>
    <w:rsid w:val="00465B9F"/>
    <w:rsid w:val="004954F3"/>
    <w:rsid w:val="004F3698"/>
    <w:rsid w:val="00530076"/>
    <w:rsid w:val="00544A72"/>
    <w:rsid w:val="00546DDE"/>
    <w:rsid w:val="00561C6F"/>
    <w:rsid w:val="005704F9"/>
    <w:rsid w:val="005837E9"/>
    <w:rsid w:val="005A3FF3"/>
    <w:rsid w:val="005C656C"/>
    <w:rsid w:val="005E29E5"/>
    <w:rsid w:val="005F6A97"/>
    <w:rsid w:val="006133C2"/>
    <w:rsid w:val="00662799"/>
    <w:rsid w:val="00670C44"/>
    <w:rsid w:val="006957E0"/>
    <w:rsid w:val="006A1558"/>
    <w:rsid w:val="006B2B9E"/>
    <w:rsid w:val="006D5C0A"/>
    <w:rsid w:val="006E76E1"/>
    <w:rsid w:val="006F7BD5"/>
    <w:rsid w:val="00782C2D"/>
    <w:rsid w:val="007E6859"/>
    <w:rsid w:val="007F6F69"/>
    <w:rsid w:val="0083617B"/>
    <w:rsid w:val="008413D3"/>
    <w:rsid w:val="00846BB9"/>
    <w:rsid w:val="00863E3C"/>
    <w:rsid w:val="008A205A"/>
    <w:rsid w:val="008B4A5D"/>
    <w:rsid w:val="008E712A"/>
    <w:rsid w:val="00907117"/>
    <w:rsid w:val="00951651"/>
    <w:rsid w:val="009D5200"/>
    <w:rsid w:val="009F3F0F"/>
    <w:rsid w:val="00A24DDA"/>
    <w:rsid w:val="00A41F8A"/>
    <w:rsid w:val="00A422B9"/>
    <w:rsid w:val="00AA1AAB"/>
    <w:rsid w:val="00B60637"/>
    <w:rsid w:val="00C20061"/>
    <w:rsid w:val="00C33E27"/>
    <w:rsid w:val="00C612FB"/>
    <w:rsid w:val="00C82619"/>
    <w:rsid w:val="00C84AA1"/>
    <w:rsid w:val="00CB4ADC"/>
    <w:rsid w:val="00CD7CE4"/>
    <w:rsid w:val="00CE11B6"/>
    <w:rsid w:val="00CF0C98"/>
    <w:rsid w:val="00D00CD2"/>
    <w:rsid w:val="00D1332E"/>
    <w:rsid w:val="00D137C2"/>
    <w:rsid w:val="00D40111"/>
    <w:rsid w:val="00D44DAF"/>
    <w:rsid w:val="00D8511D"/>
    <w:rsid w:val="00D91236"/>
    <w:rsid w:val="00DA4398"/>
    <w:rsid w:val="00DA6D1B"/>
    <w:rsid w:val="00DE1D39"/>
    <w:rsid w:val="00E07488"/>
    <w:rsid w:val="00E77F5C"/>
    <w:rsid w:val="00E97359"/>
    <w:rsid w:val="00EC4F75"/>
    <w:rsid w:val="00F16530"/>
    <w:rsid w:val="00F30040"/>
    <w:rsid w:val="00F434CE"/>
    <w:rsid w:val="00F4474B"/>
    <w:rsid w:val="00F56B46"/>
    <w:rsid w:val="00F60AE6"/>
    <w:rsid w:val="00F83E59"/>
    <w:rsid w:val="00F9727D"/>
    <w:rsid w:val="00FE7D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772DE"/>
  <w15:docId w15:val="{BD69594C-45DD-49F9-88F0-417F3B073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18"/>
        <w:szCs w:val="18"/>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H1nonumb">
    <w:name w:val="M H 1 no numb"/>
    <w:basedOn w:val="Normal"/>
    <w:next w:val="Normal"/>
    <w:link w:val="MH1nonumbChar"/>
    <w:qFormat/>
    <w:rsid w:val="003631E0"/>
    <w:pPr>
      <w:keepNext/>
      <w:pageBreakBefore/>
      <w:spacing w:after="480" w:line="240" w:lineRule="auto"/>
      <w:jc w:val="both"/>
      <w:outlineLvl w:val="0"/>
    </w:pPr>
    <w:rPr>
      <w:rFonts w:ascii="Century Gothic" w:eastAsia="Times New Roman" w:hAnsi="Century Gothic"/>
      <w:b/>
      <w:caps/>
      <w:sz w:val="24"/>
      <w:szCs w:val="24"/>
      <w:lang w:eastAsia="fr-FR"/>
    </w:rPr>
  </w:style>
  <w:style w:type="character" w:customStyle="1" w:styleId="MH1nonumbChar">
    <w:name w:val="M H 1 no numb Char"/>
    <w:link w:val="MH1nonumb"/>
    <w:rsid w:val="003631E0"/>
    <w:rPr>
      <w:rFonts w:ascii="Century Gothic" w:eastAsia="Times New Roman" w:hAnsi="Century Gothic"/>
      <w:b/>
      <w:caps/>
      <w:sz w:val="24"/>
      <w:szCs w:val="24"/>
      <w:lang w:eastAsia="fr-FR"/>
    </w:rPr>
  </w:style>
  <w:style w:type="paragraph" w:customStyle="1" w:styleId="MMultilevel">
    <w:name w:val="M Multilevel"/>
    <w:basedOn w:val="Normal"/>
    <w:link w:val="MMultilevelChar"/>
    <w:qFormat/>
    <w:rsid w:val="002A4AFA"/>
    <w:pPr>
      <w:widowControl w:val="0"/>
      <w:numPr>
        <w:numId w:val="1"/>
      </w:numPr>
      <w:spacing w:after="0" w:line="240" w:lineRule="auto"/>
      <w:jc w:val="both"/>
    </w:pPr>
    <w:rPr>
      <w:rFonts w:eastAsia="Times New Roman"/>
      <w:bCs/>
      <w:sz w:val="22"/>
      <w:szCs w:val="22"/>
      <w:lang w:val="en-US" w:eastAsia="fr-FR"/>
    </w:rPr>
  </w:style>
  <w:style w:type="character" w:customStyle="1" w:styleId="MMultilevelChar">
    <w:name w:val="M Multilevel Char"/>
    <w:link w:val="MMultilevel"/>
    <w:rsid w:val="002A4AFA"/>
    <w:rPr>
      <w:rFonts w:eastAsia="Times New Roman"/>
      <w:bCs/>
      <w:sz w:val="22"/>
      <w:szCs w:val="22"/>
      <w:lang w:val="en-US" w:eastAsia="fr-FR"/>
    </w:rPr>
  </w:style>
  <w:style w:type="paragraph" w:styleId="ListParagraph">
    <w:name w:val="List Paragraph"/>
    <w:basedOn w:val="Normal"/>
    <w:uiPriority w:val="34"/>
    <w:qFormat/>
    <w:rsid w:val="001907D6"/>
    <w:pPr>
      <w:ind w:left="720"/>
      <w:contextualSpacing/>
    </w:pPr>
  </w:style>
  <w:style w:type="paragraph" w:customStyle="1" w:styleId="MBT">
    <w:name w:val="M BT"/>
    <w:basedOn w:val="Normal"/>
    <w:link w:val="MBTChar"/>
    <w:qFormat/>
    <w:rsid w:val="002177B9"/>
    <w:pPr>
      <w:widowControl w:val="0"/>
      <w:spacing w:after="0" w:line="240" w:lineRule="auto"/>
      <w:jc w:val="both"/>
    </w:pPr>
    <w:rPr>
      <w:rFonts w:eastAsia="Times New Roman"/>
      <w:bCs/>
      <w:sz w:val="22"/>
      <w:szCs w:val="22"/>
      <w:lang w:val="en-US" w:eastAsia="fr-FR"/>
    </w:rPr>
  </w:style>
  <w:style w:type="character" w:customStyle="1" w:styleId="MBTChar">
    <w:name w:val="M BT Char"/>
    <w:link w:val="MBT"/>
    <w:rsid w:val="002177B9"/>
    <w:rPr>
      <w:rFonts w:eastAsia="Times New Roman"/>
      <w:bCs/>
      <w:sz w:val="22"/>
      <w:szCs w:val="22"/>
      <w:lang w:val="en-US" w:eastAsia="fr-FR"/>
    </w:rPr>
  </w:style>
  <w:style w:type="character" w:styleId="CommentReference">
    <w:name w:val="annotation reference"/>
    <w:basedOn w:val="DefaultParagraphFont"/>
    <w:uiPriority w:val="99"/>
    <w:semiHidden/>
    <w:unhideWhenUsed/>
    <w:rsid w:val="00C20061"/>
    <w:rPr>
      <w:sz w:val="16"/>
      <w:szCs w:val="16"/>
    </w:rPr>
  </w:style>
  <w:style w:type="paragraph" w:styleId="CommentText">
    <w:name w:val="annotation text"/>
    <w:basedOn w:val="Normal"/>
    <w:link w:val="CommentTextChar"/>
    <w:uiPriority w:val="99"/>
    <w:unhideWhenUsed/>
    <w:rsid w:val="00C20061"/>
    <w:pPr>
      <w:spacing w:line="240" w:lineRule="auto"/>
    </w:pPr>
    <w:rPr>
      <w:sz w:val="20"/>
      <w:szCs w:val="20"/>
    </w:rPr>
  </w:style>
  <w:style w:type="character" w:customStyle="1" w:styleId="CommentTextChar">
    <w:name w:val="Comment Text Char"/>
    <w:basedOn w:val="DefaultParagraphFont"/>
    <w:link w:val="CommentText"/>
    <w:uiPriority w:val="99"/>
    <w:rsid w:val="00C20061"/>
    <w:rPr>
      <w:sz w:val="20"/>
      <w:szCs w:val="20"/>
    </w:rPr>
  </w:style>
  <w:style w:type="paragraph" w:styleId="CommentSubject">
    <w:name w:val="annotation subject"/>
    <w:basedOn w:val="CommentText"/>
    <w:next w:val="CommentText"/>
    <w:link w:val="CommentSubjectChar"/>
    <w:uiPriority w:val="99"/>
    <w:semiHidden/>
    <w:unhideWhenUsed/>
    <w:rsid w:val="00C20061"/>
    <w:rPr>
      <w:b/>
      <w:bCs/>
    </w:rPr>
  </w:style>
  <w:style w:type="character" w:customStyle="1" w:styleId="CommentSubjectChar">
    <w:name w:val="Comment Subject Char"/>
    <w:basedOn w:val="CommentTextChar"/>
    <w:link w:val="CommentSubject"/>
    <w:uiPriority w:val="99"/>
    <w:semiHidden/>
    <w:rsid w:val="00C20061"/>
    <w:rPr>
      <w:b/>
      <w:bCs/>
      <w:sz w:val="20"/>
      <w:szCs w:val="20"/>
    </w:rPr>
  </w:style>
  <w:style w:type="paragraph" w:styleId="BalloonText">
    <w:name w:val="Balloon Text"/>
    <w:basedOn w:val="Normal"/>
    <w:link w:val="BalloonTextChar"/>
    <w:uiPriority w:val="99"/>
    <w:semiHidden/>
    <w:unhideWhenUsed/>
    <w:rsid w:val="00C20061"/>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C20061"/>
    <w:rPr>
      <w:rFonts w:ascii="Segoe UI" w:hAnsi="Segoe UI" w:cs="Segoe UI"/>
    </w:rPr>
  </w:style>
  <w:style w:type="paragraph" w:styleId="Revision">
    <w:name w:val="Revision"/>
    <w:hidden/>
    <w:uiPriority w:val="99"/>
    <w:semiHidden/>
    <w:rsid w:val="00040BAD"/>
    <w:pPr>
      <w:spacing w:after="0" w:line="240" w:lineRule="auto"/>
    </w:pPr>
  </w:style>
  <w:style w:type="character" w:styleId="Hyperlink">
    <w:name w:val="Hyperlink"/>
    <w:uiPriority w:val="99"/>
    <w:rsid w:val="006957E0"/>
    <w:rPr>
      <w:color w:val="0000FF"/>
      <w:u w:val="single"/>
    </w:rPr>
  </w:style>
  <w:style w:type="character" w:styleId="FootnoteReference">
    <w:name w:val="footnote reference"/>
    <w:aliases w:val="Footnote Refernece,BVI fnr,callout,16 Point,Superscript 6 Point,Odwołanie przypisu,Footnote symbol,Footnote Reference Number,Footnote Reference Superscript,SUPERS,Times 10 Point,Exposant 3 Point,Ref,de nota al pie,number, BVI fnr,FR,F"/>
    <w:uiPriority w:val="99"/>
    <w:qFormat/>
    <w:rsid w:val="006957E0"/>
    <w:rPr>
      <w:vertAlign w:val="superscript"/>
    </w:rPr>
  </w:style>
  <w:style w:type="table" w:customStyle="1" w:styleId="GridTable4-Accent11">
    <w:name w:val="Grid Table 4 - Accent 11"/>
    <w:basedOn w:val="TableNormal"/>
    <w:uiPriority w:val="49"/>
    <w:rsid w:val="006957E0"/>
    <w:pPr>
      <w:spacing w:after="0" w:line="240" w:lineRule="auto"/>
    </w:pPr>
    <w:rPr>
      <w:rFonts w:eastAsia="Times New Roman"/>
      <w:sz w:val="20"/>
      <w:szCs w:val="20"/>
      <w:lang w:eastAsia="en-GB"/>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Strong">
    <w:name w:val="Strong"/>
    <w:uiPriority w:val="22"/>
    <w:qFormat/>
    <w:rsid w:val="000B29D1"/>
    <w:rPr>
      <w:b/>
      <w:bCs/>
    </w:rPr>
  </w:style>
  <w:style w:type="paragraph" w:styleId="FootnoteText">
    <w:name w:val="footnote text"/>
    <w:aliases w:val="M Footnotes"/>
    <w:basedOn w:val="Normal"/>
    <w:link w:val="FootnoteTextChar"/>
    <w:uiPriority w:val="99"/>
    <w:qFormat/>
    <w:rsid w:val="000B29D1"/>
    <w:pPr>
      <w:spacing w:after="0" w:line="240" w:lineRule="auto"/>
      <w:jc w:val="both"/>
    </w:pPr>
    <w:rPr>
      <w:rFonts w:eastAsia="Times New Roman"/>
      <w:szCs w:val="22"/>
      <w:lang w:eastAsia="fr-FR"/>
    </w:rPr>
  </w:style>
  <w:style w:type="character" w:customStyle="1" w:styleId="FootnoteTextChar">
    <w:name w:val="Footnote Text Char"/>
    <w:aliases w:val="M Footnotes Char"/>
    <w:basedOn w:val="DefaultParagraphFont"/>
    <w:link w:val="FootnoteText"/>
    <w:uiPriority w:val="99"/>
    <w:rsid w:val="000B29D1"/>
    <w:rPr>
      <w:rFonts w:eastAsia="Times New Roman"/>
      <w:szCs w:val="22"/>
      <w:lang w:eastAsia="fr-FR"/>
    </w:rPr>
  </w:style>
  <w:style w:type="character" w:customStyle="1" w:styleId="UnresolvedMention1">
    <w:name w:val="Unresolved Mention1"/>
    <w:basedOn w:val="DefaultParagraphFont"/>
    <w:uiPriority w:val="99"/>
    <w:semiHidden/>
    <w:unhideWhenUsed/>
    <w:rsid w:val="00F9727D"/>
    <w:rPr>
      <w:color w:val="605E5C"/>
      <w:shd w:val="clear" w:color="auto" w:fill="E1DFDD"/>
    </w:rPr>
  </w:style>
  <w:style w:type="paragraph" w:styleId="Header">
    <w:name w:val="header"/>
    <w:basedOn w:val="Normal"/>
    <w:link w:val="HeaderChar"/>
    <w:uiPriority w:val="99"/>
    <w:unhideWhenUsed/>
    <w:rsid w:val="004474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447403"/>
  </w:style>
  <w:style w:type="paragraph" w:styleId="Footer">
    <w:name w:val="footer"/>
    <w:basedOn w:val="Normal"/>
    <w:link w:val="FooterChar"/>
    <w:uiPriority w:val="99"/>
    <w:unhideWhenUsed/>
    <w:rsid w:val="004474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447403"/>
  </w:style>
  <w:style w:type="character" w:styleId="FollowedHyperlink">
    <w:name w:val="FollowedHyperlink"/>
    <w:basedOn w:val="DefaultParagraphFont"/>
    <w:uiPriority w:val="99"/>
    <w:semiHidden/>
    <w:unhideWhenUsed/>
    <w:rsid w:val="00447403"/>
    <w:rPr>
      <w:color w:val="954F72" w:themeColor="followedHyperlink"/>
      <w:u w:val="single"/>
    </w:rPr>
  </w:style>
  <w:style w:type="character" w:styleId="UnresolvedMention">
    <w:name w:val="Unresolved Mention"/>
    <w:basedOn w:val="DefaultParagraphFont"/>
    <w:uiPriority w:val="99"/>
    <w:semiHidden/>
    <w:unhideWhenUsed/>
    <w:rsid w:val="006627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7187860">
      <w:bodyDiv w:val="1"/>
      <w:marLeft w:val="0"/>
      <w:marRight w:val="0"/>
      <w:marTop w:val="0"/>
      <w:marBottom w:val="0"/>
      <w:divBdr>
        <w:top w:val="none" w:sz="0" w:space="0" w:color="auto"/>
        <w:left w:val="none" w:sz="0" w:space="0" w:color="auto"/>
        <w:bottom w:val="none" w:sz="0" w:space="0" w:color="auto"/>
        <w:right w:val="none" w:sz="0" w:space="0" w:color="auto"/>
      </w:divBdr>
    </w:div>
    <w:div w:id="952133936">
      <w:bodyDiv w:val="1"/>
      <w:marLeft w:val="0"/>
      <w:marRight w:val="0"/>
      <w:marTop w:val="0"/>
      <w:marBottom w:val="0"/>
      <w:divBdr>
        <w:top w:val="none" w:sz="0" w:space="0" w:color="auto"/>
        <w:left w:val="none" w:sz="0" w:space="0" w:color="auto"/>
        <w:bottom w:val="none" w:sz="0" w:space="0" w:color="auto"/>
        <w:right w:val="none" w:sz="0" w:space="0" w:color="auto"/>
      </w:divBdr>
    </w:div>
    <w:div w:id="1158576109">
      <w:bodyDiv w:val="1"/>
      <w:marLeft w:val="0"/>
      <w:marRight w:val="0"/>
      <w:marTop w:val="0"/>
      <w:marBottom w:val="0"/>
      <w:divBdr>
        <w:top w:val="none" w:sz="0" w:space="0" w:color="auto"/>
        <w:left w:val="none" w:sz="0" w:space="0" w:color="auto"/>
        <w:bottom w:val="none" w:sz="0" w:space="0" w:color="auto"/>
        <w:right w:val="none" w:sz="0" w:space="0" w:color="auto"/>
      </w:divBdr>
    </w:div>
    <w:div w:id="193536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assets.publishing.service.gov.uk/government/uploads/system/uploads/attachment_data/file/722474/Tier_1__Investor__Policy_Guidance_07.18.pdf" TargetMode="External"/><Relationship Id="rId2" Type="http://schemas.openxmlformats.org/officeDocument/2006/relationships/hyperlink" Target="https://assets.publishing.service.gov.uk/government/uploads/system/uploads/attachment_data/file/673832/T1__I__Guidance_final_word_version_12012018__002__ILR.pdf" TargetMode="External"/><Relationship Id="rId1" Type="http://schemas.openxmlformats.org/officeDocument/2006/relationships/hyperlink" Target="https://www.gov.uk/guidance/immigration-rules" TargetMode="External"/><Relationship Id="rId5" Type="http://schemas.openxmlformats.org/officeDocument/2006/relationships/hyperlink" Target="https://assets.publishing.service.gov.uk/government/uploads/system/uploads/attachment_data/file/285220/Tier1investmentRoute.pdf" TargetMode="External"/><Relationship Id="rId4" Type="http://schemas.openxmlformats.org/officeDocument/2006/relationships/hyperlink" Target="https://assets.publishing.service.gov.uk/government/uploads/system/uploads/attachment_data/file/599835/Money_Laundering_Regulations_2017_-_FINAL_CONSULTATION_DRAFT_FINAL.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E70F2-0299-428C-9982-0BDD5B03A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1428</Words>
  <Characters>8143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9552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dc:creator>
  <cp:keywords/>
  <dc:description/>
  <cp:lastModifiedBy>Author</cp:lastModifiedBy>
  <cp:revision>5</cp:revision>
  <cp:lastPrinted>2018-08-27T15:06:00Z</cp:lastPrinted>
  <dcterms:created xsi:type="dcterms:W3CDTF">2018-09-04T07:09:00Z</dcterms:created>
  <dcterms:modified xsi:type="dcterms:W3CDTF">2018-09-13T14:51:00Z</dcterms:modified>
</cp:coreProperties>
</file>